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F6" w:rsidRPr="00571ECE" w:rsidRDefault="00DD00F6" w:rsidP="00043C1B">
      <w:p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p w:rsidR="00DD00F6" w:rsidRPr="00571ECE" w:rsidRDefault="00D7738E" w:rsidP="00043C1B">
      <w:pPr>
        <w:spacing w:after="0" w:line="240" w:lineRule="auto"/>
        <w:ind w:right="1153"/>
        <w:jc w:val="right"/>
        <w:rPr>
          <w:rFonts w:ascii="Times New Roman" w:eastAsia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noProof/>
          <w:szCs w:val="20"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1967230</wp:posOffset>
            </wp:positionH>
            <wp:positionV relativeFrom="paragraph">
              <wp:posOffset>1065530</wp:posOffset>
            </wp:positionV>
            <wp:extent cx="3996055" cy="1618615"/>
            <wp:effectExtent l="0" t="0" r="444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3C1B" w:rsidRPr="00571ECE">
        <w:rPr>
          <w:rFonts w:ascii="Times New Roman" w:hAnsi="Times New Roman" w:cs="Times New Roman"/>
          <w:szCs w:val="20"/>
          <w:lang w:val="en-GB"/>
        </w:rPr>
        <w:t xml:space="preserve"> </w:t>
      </w:r>
    </w:p>
    <w:p w:rsidR="00DD00F6" w:rsidRPr="00571ECE" w:rsidRDefault="00DD00F6" w:rsidP="00043C1B">
      <w:p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p w:rsidR="00D2281A" w:rsidRPr="00571ECE" w:rsidRDefault="00D2281A" w:rsidP="00043C1B">
      <w:p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p w:rsidR="00D2281A" w:rsidRPr="00571ECE" w:rsidRDefault="00D2281A" w:rsidP="00043C1B">
      <w:p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p w:rsidR="00D2281A" w:rsidRPr="00571ECE" w:rsidRDefault="00D2281A" w:rsidP="00043C1B">
      <w:p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p w:rsidR="00D2281A" w:rsidRPr="00571ECE" w:rsidRDefault="00D2281A" w:rsidP="00043C1B">
      <w:p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tbl>
      <w:tblPr>
        <w:tblStyle w:val="Tabela-Siatka"/>
        <w:tblW w:w="9747" w:type="dxa"/>
        <w:tblLook w:val="04A0"/>
      </w:tblPr>
      <w:tblGrid>
        <w:gridCol w:w="3085"/>
        <w:gridCol w:w="6662"/>
      </w:tblGrid>
      <w:tr w:rsidR="00D2281A" w:rsidRPr="00571ECE" w:rsidTr="00E5777B">
        <w:tc>
          <w:tcPr>
            <w:tcW w:w="9747" w:type="dxa"/>
            <w:gridSpan w:val="2"/>
          </w:tcPr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D2281A" w:rsidRPr="00571ECE" w:rsidRDefault="00D2281A" w:rsidP="00043C1B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D2281A" w:rsidRPr="00571ECE" w:rsidTr="00E5777B">
        <w:tc>
          <w:tcPr>
            <w:tcW w:w="9747" w:type="dxa"/>
            <w:gridSpan w:val="2"/>
          </w:tcPr>
          <w:p w:rsidR="00C66CB0" w:rsidRDefault="00C66CB0" w:rsidP="00D2281A">
            <w:pPr>
              <w:ind w:left="1745" w:right="1750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en-GB"/>
              </w:rPr>
            </w:pPr>
          </w:p>
          <w:p w:rsidR="00D2281A" w:rsidRPr="00571ECE" w:rsidRDefault="00C7226E" w:rsidP="00D2281A">
            <w:pPr>
              <w:ind w:left="1745" w:right="1750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val="en-GB"/>
              </w:rPr>
              <w:t xml:space="preserve">PUBLIC INSTITUTION </w:t>
            </w:r>
            <w:bookmarkStart w:id="0" w:name="_GoBack"/>
            <w:bookmarkEnd w:id="0"/>
            <w:r w:rsidR="00D2281A" w:rsidRPr="00571ECE">
              <w:rPr>
                <w:rFonts w:ascii="Times New Roman" w:eastAsia="Times New Roman" w:hAnsi="Times New Roman" w:cs="Times New Roman"/>
                <w:i/>
                <w:szCs w:val="20"/>
                <w:lang w:val="en-GB"/>
              </w:rPr>
              <w:t>KLAIPĖDOS JACHTKLUBAS</w:t>
            </w:r>
          </w:p>
          <w:p w:rsidR="00D2281A" w:rsidRPr="00571ECE" w:rsidRDefault="00D2281A" w:rsidP="00D2281A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E5777B" w:rsidRDefault="00C7226E" w:rsidP="00D2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Smites</w:t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g. 25, LT-93100 </w:t>
            </w:r>
            <w:r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Klaipeda</w:t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, legal entity code 140851935, VAT payer ID code LT 408519314, </w:t>
            </w:r>
            <w:r w:rsid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br/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tel.: (</w:t>
            </w:r>
            <w:r w:rsidR="00750A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+370</w:t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46) 391 112, mob. tel.: (</w:t>
            </w:r>
            <w:r w:rsidR="00750A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+370</w:t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686) 81 252, fax: (</w:t>
            </w:r>
            <w:r w:rsidR="00750A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+370</w:t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46) 391 107, e-mail: </w:t>
            </w:r>
            <w:hyperlink r:id="rId5">
              <w:r w:rsidR="00D2281A" w:rsidRPr="00E5777B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en-GB"/>
                </w:rPr>
                <w:t xml:space="preserve">info@klaipedosjachtklubas.lt, </w:t>
              </w:r>
            </w:hyperlink>
          </w:p>
          <w:p w:rsidR="00D2281A" w:rsidRPr="00E5777B" w:rsidRDefault="00C66CB0" w:rsidP="00D2281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in</w:t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implementing the </w:t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proje</w:t>
            </w:r>
            <w:r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t </w:t>
            </w:r>
            <w:r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“Reconstruction of </w:t>
            </w:r>
            <w:r w:rsid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the </w:t>
            </w:r>
            <w:r w:rsidR="004C2C28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I</w:t>
            </w:r>
            <w:r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nfrastructure of </w:t>
            </w:r>
            <w:r w:rsidR="004C2C28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the </w:t>
            </w:r>
            <w:proofErr w:type="spellStart"/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Smiltynė</w:t>
            </w:r>
            <w:proofErr w:type="spellEnd"/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4C2C28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Ya</w:t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cht</w:t>
            </w:r>
            <w:r w:rsidR="004C2C28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Harbour</w:t>
            </w:r>
            <w:r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”</w:t>
            </w:r>
            <w:r w:rsidR="00D2281A" w:rsidRPr="00E577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:rsidR="00D2281A" w:rsidRPr="00571ECE" w:rsidRDefault="00D2281A" w:rsidP="00D2281A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en-GB"/>
              </w:rPr>
            </w:pPr>
          </w:p>
          <w:p w:rsidR="00D2281A" w:rsidRPr="00571ECE" w:rsidRDefault="004C2C28" w:rsidP="00D2281A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 xml:space="preserve">PUBLISHES THE SELECTION OF THE OPERATOR </w:t>
            </w:r>
          </w:p>
          <w:p w:rsidR="00D2281A" w:rsidRPr="00571ECE" w:rsidRDefault="00D2281A" w:rsidP="00D2281A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CC5988" w:rsidRPr="00374465" w:rsidTr="00E5777B">
        <w:tc>
          <w:tcPr>
            <w:tcW w:w="3085" w:type="dxa"/>
          </w:tcPr>
          <w:p w:rsidR="00CC5988" w:rsidRPr="00E5777B" w:rsidRDefault="004C2C28" w:rsidP="004C2C2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Purpose of the selection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662" w:type="dxa"/>
          </w:tcPr>
          <w:p w:rsidR="00CC5988" w:rsidRPr="00E5777B" w:rsidRDefault="001435DB" w:rsidP="005600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To select the operator of </w:t>
            </w:r>
            <w:r w:rsidR="00560095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infrastructure of the </w:t>
            </w:r>
            <w:proofErr w:type="spellStart"/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Smiltynė</w:t>
            </w:r>
            <w:proofErr w:type="spellEnd"/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acht 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Harbour and to conclude a 10-year </w:t>
            </w:r>
            <w:r w:rsidR="00560095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operation 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contract with the selected operator </w:t>
            </w:r>
            <w:r w:rsidR="00560095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maintenance and operation of </w:t>
            </w:r>
            <w:r w:rsidR="00560095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infrastructure of the </w:t>
            </w:r>
            <w:proofErr w:type="spellStart"/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Smiltynė</w:t>
            </w:r>
            <w:proofErr w:type="spellEnd"/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Yacht Harbour</w:t>
            </w:r>
            <w:r w:rsidR="00560095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provision of services to </w:t>
            </w:r>
            <w:r w:rsidR="00BE5054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its 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users </w:t>
            </w:r>
            <w:r w:rsidR="00BE5054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 promoti</w:t>
            </w:r>
            <w:r w:rsidR="00560095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</w:t>
            </w:r>
            <w:r w:rsidR="00BE5054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 </w:t>
            </w:r>
            <w:r w:rsidR="00560095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of </w:t>
            </w:r>
            <w:r w:rsidR="00BE5054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development of inbound tourism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  <w:r w:rsidR="00BE5054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CC5988" w:rsidRPr="00374465" w:rsidTr="00E5777B">
        <w:tc>
          <w:tcPr>
            <w:tcW w:w="3085" w:type="dxa"/>
          </w:tcPr>
          <w:p w:rsidR="00CC5988" w:rsidRPr="00E5777B" w:rsidRDefault="004C2C28" w:rsidP="004C2C2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Selection 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proced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ure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662" w:type="dxa"/>
          </w:tcPr>
          <w:p w:rsidR="003E1724" w:rsidRPr="00E5777B" w:rsidRDefault="005038E3" w:rsidP="001435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The selection </w:t>
            </w:r>
            <w:r w:rsidRPr="00E577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shall be implemented under the principles of equality, non-discrimination, transparency, mutual recognition, and proportionality, as well as in compliance with confidentiality and impartiality requirements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r w:rsidR="00CC5988" w:rsidRPr="00E5777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/>
              </w:rPr>
              <w:t xml:space="preserve">mutatis mutandis </w:t>
            </w:r>
            <w:r w:rsidR="007870FA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following</w:t>
            </w:r>
            <w:r w:rsidR="007870FA" w:rsidRPr="00E5777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the requirements of Chapter XLIX of the Civil Code of the Republic of 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Lit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h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u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ania and the </w:t>
            </w:r>
            <w:r w:rsidR="001435DB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Selection 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Conditions of the Operator of the </w:t>
            </w:r>
            <w:proofErr w:type="spellStart"/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Smiltynė</w:t>
            </w:r>
            <w:proofErr w:type="spellEnd"/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acht</w:t>
            </w:r>
            <w:r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Harbour 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r w:rsidR="00EF1DDA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hereinafter, the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 w:rsidR="00EF1DDA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Conditions</w:t>
            </w:r>
            <w:r w:rsidR="00CC5988" w:rsidRPr="00E5777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). </w:t>
            </w:r>
          </w:p>
        </w:tc>
      </w:tr>
      <w:tr w:rsidR="00CC5988" w:rsidRPr="00374465" w:rsidTr="00E5777B">
        <w:tc>
          <w:tcPr>
            <w:tcW w:w="3085" w:type="dxa"/>
          </w:tcPr>
          <w:p w:rsidR="00CC5988" w:rsidRPr="00E5777B" w:rsidRDefault="00CB5966" w:rsidP="00CB59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Conditions are available</w:t>
            </w:r>
            <w:r w:rsidR="00BE02A5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662" w:type="dxa"/>
          </w:tcPr>
          <w:p w:rsidR="00CC5988" w:rsidRPr="00E5777B" w:rsidRDefault="00374465" w:rsidP="00EF1DDA">
            <w:pPr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From the date of publication of the notification to </w:t>
            </w:r>
            <w:r w:rsidR="00EF1DDA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 expiry of the deadline for submitting requests by e-mail </w:t>
            </w:r>
            <w:hyperlink r:id="rId6" w:history="1">
              <w:r w:rsidR="00EF1DDA" w:rsidRPr="00E5777B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>info@klaipedosjachtklubas.lt.</w:t>
              </w:r>
            </w:hyperlink>
            <w:r w:rsidR="00BE02A5" w:rsidRPr="00E577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E02A5" w:rsidRPr="00374465" w:rsidTr="00E5777B">
        <w:tc>
          <w:tcPr>
            <w:tcW w:w="3085" w:type="dxa"/>
          </w:tcPr>
          <w:p w:rsidR="00BE02A5" w:rsidRPr="00E5777B" w:rsidRDefault="00CB5966" w:rsidP="00CB5966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Deadline and address for submitting requests to participate in the selection procedure</w:t>
            </w:r>
            <w:r w:rsidR="00BE02A5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662" w:type="dxa"/>
          </w:tcPr>
          <w:p w:rsidR="00BE02A5" w:rsidRPr="00E5777B" w:rsidRDefault="00CB5966" w:rsidP="00E57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Requests prepared in compliance with the Conditions shall be submitted by e-mail </w:t>
            </w:r>
            <w:hyperlink r:id="rId7" w:history="1">
              <w:r w:rsidRPr="00E5777B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 xml:space="preserve">info@klaipedosjachtklubas.lt </w:t>
              </w:r>
            </w:hyperlink>
            <w:r w:rsidR="00374465" w:rsidRPr="00E577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later than</w:t>
            </w:r>
            <w:r w:rsidRPr="00E577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5777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21 August 2014 </w:t>
            </w:r>
            <w:r w:rsidR="00374465" w:rsidRPr="00E5777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at 16:00 p.m.</w:t>
            </w:r>
            <w:r w:rsidR="00374465" w:rsidRPr="00E577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(Lithuania</w:t>
            </w:r>
            <w:r w:rsidR="00750A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374465" w:rsidRPr="00E577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time)</w:t>
            </w:r>
            <w:r w:rsidR="00FD67BA" w:rsidRPr="00E5777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</w:tbl>
    <w:p w:rsidR="00DD00F6" w:rsidRPr="00571ECE" w:rsidRDefault="00DD00F6" w:rsidP="00043C1B">
      <w:p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p w:rsidR="00C66CB0" w:rsidRPr="00571ECE" w:rsidRDefault="00C66CB0" w:rsidP="00043C1B">
      <w:p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sectPr w:rsidR="00C66CB0" w:rsidRPr="00571ECE" w:rsidSect="00DD00F6">
      <w:type w:val="continuous"/>
      <w:pgSz w:w="11920" w:h="16840"/>
      <w:pgMar w:top="1560" w:right="900" w:bottom="280" w:left="148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</w:compat>
  <w:rsids>
    <w:rsidRoot w:val="00DD00F6"/>
    <w:rsid w:val="00043C1B"/>
    <w:rsid w:val="001435DB"/>
    <w:rsid w:val="00374465"/>
    <w:rsid w:val="003E1724"/>
    <w:rsid w:val="004A236D"/>
    <w:rsid w:val="004C2C28"/>
    <w:rsid w:val="005038E3"/>
    <w:rsid w:val="00560095"/>
    <w:rsid w:val="00571ECE"/>
    <w:rsid w:val="005B711A"/>
    <w:rsid w:val="00750A0D"/>
    <w:rsid w:val="007870FA"/>
    <w:rsid w:val="00AF6A84"/>
    <w:rsid w:val="00BE02A5"/>
    <w:rsid w:val="00BE5054"/>
    <w:rsid w:val="00C66CB0"/>
    <w:rsid w:val="00C7226E"/>
    <w:rsid w:val="00CB5966"/>
    <w:rsid w:val="00CC5988"/>
    <w:rsid w:val="00D2281A"/>
    <w:rsid w:val="00D7738E"/>
    <w:rsid w:val="00DD00F6"/>
    <w:rsid w:val="00E5777B"/>
    <w:rsid w:val="00EF1DDA"/>
    <w:rsid w:val="00FD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5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5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laipedosjachtklubas.l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laipedosjachtklubas.lt." TargetMode="External"/><Relationship Id="rId5" Type="http://schemas.openxmlformats.org/officeDocument/2006/relationships/hyperlink" Target="mailto:info@klaipedosjachtklubas.l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dargiewicz.a</cp:lastModifiedBy>
  <cp:revision>2</cp:revision>
  <dcterms:created xsi:type="dcterms:W3CDTF">2014-07-25T06:56:00Z</dcterms:created>
  <dcterms:modified xsi:type="dcterms:W3CDTF">2014-07-25T06:56:00Z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LastSaved">
    <vt:filetime>2014-07-23T00:00:00Z</vt:filetime>
  </property>
</Properties>
</file>