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1773363"/>
        <w:docPartObj>
          <w:docPartGallery w:val="Cover Pages"/>
          <w:docPartUnique/>
        </w:docPartObj>
      </w:sdtPr>
      <w:sdtEndPr>
        <w:rPr>
          <w:bCs/>
        </w:rPr>
      </w:sdtEndPr>
      <w:sdtContent>
        <w:p w:rsidR="0035345A" w:rsidRPr="00D9206E" w:rsidRDefault="00B25BBF" w:rsidP="0035345A">
          <w:pPr>
            <w:rPr>
              <w:bCs/>
            </w:rPr>
          </w:pPr>
          <w:r>
            <w:rPr>
              <w:noProof/>
              <w:lang w:val="pl-PL" w:eastAsia="pl-PL"/>
            </w:rPr>
            <w:drawing>
              <wp:anchor distT="0" distB="0" distL="114300" distR="114300" simplePos="0" relativeHeight="251663360" behindDoc="0" locked="0" layoutInCell="1" allowOverlap="1">
                <wp:simplePos x="0" y="0"/>
                <wp:positionH relativeFrom="page">
                  <wp:posOffset>-23480</wp:posOffset>
                </wp:positionH>
                <wp:positionV relativeFrom="page">
                  <wp:posOffset>1922277</wp:posOffset>
                </wp:positionV>
                <wp:extent cx="3841041" cy="2922034"/>
                <wp:effectExtent l="19050" t="19050" r="26109" b="11666"/>
                <wp:wrapNone/>
                <wp:docPr id="19" name="Picture 16" descr="C:\Users\v.iotzov\Desktop\mod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otzov\Desktop\model3.jpg"/>
                        <pic:cNvPicPr>
                          <a:picLocks noChangeAspect="1" noChangeArrowheads="1"/>
                        </pic:cNvPicPr>
                      </pic:nvPicPr>
                      <pic:blipFill>
                        <a:blip r:embed="rId8" cstate="print"/>
                        <a:srcRect/>
                        <a:stretch>
                          <a:fillRect/>
                        </a:stretch>
                      </pic:blipFill>
                      <pic:spPr bwMode="auto">
                        <a:xfrm>
                          <a:off x="0" y="0"/>
                          <a:ext cx="3841041" cy="2922034"/>
                        </a:xfrm>
                        <a:prstGeom prst="rect">
                          <a:avLst/>
                        </a:prstGeom>
                        <a:noFill/>
                        <a:ln w="9525">
                          <a:solidFill>
                            <a:schemeClr val="bg1"/>
                          </a:solidFill>
                          <a:miter lim="800000"/>
                          <a:headEnd/>
                          <a:tailEnd/>
                        </a:ln>
                      </pic:spPr>
                    </pic:pic>
                  </a:graphicData>
                </a:graphic>
              </wp:anchor>
            </w:drawing>
          </w:r>
          <w:r w:rsidR="004B1907" w:rsidRPr="004B1907">
            <w:rPr>
              <w:noProof/>
              <w:lang w:val="en-GB" w:eastAsia="en-GB"/>
            </w:rPr>
            <w:pict>
              <v:shapetype id="_x0000_t202" coordsize="21600,21600" o:spt="202" path="m,l,21600r21600,l21600,xe">
                <v:stroke joinstyle="miter"/>
                <v:path gradientshapeok="t" o:connecttype="rect"/>
              </v:shapetype>
              <v:shape id="_x0000_s1039" type="#_x0000_t202" style="position:absolute;margin-left:329.85pt;margin-top:72.85pt;width:482.65pt;height:515.7pt;z-index:251662336;mso-position-horizontal-relative:page;mso-position-vertical-relative:top-margin-area;mso-height-relative:top-margin-area" o:allowincell="f" filled="f" fillcolor="#0055a5" stroked="f" strokecolor="#31849b [2408]">
                <v:textbox style="mso-next-textbox:#_x0000_s1039">
                  <w:txbxContent>
                    <w:p w:rsidR="00B25BBF" w:rsidRPr="00B25BBF" w:rsidRDefault="00B25BBF" w:rsidP="00B25BBF">
                      <w:pPr>
                        <w:pStyle w:val="Bezodstpw"/>
                        <w:numPr>
                          <w:ilvl w:val="0"/>
                          <w:numId w:val="0"/>
                        </w:numPr>
                        <w:rPr>
                          <w:lang w:val="en-GB"/>
                        </w:rPr>
                      </w:pPr>
                      <w:r w:rsidRPr="00B25BBF">
                        <w:rPr>
                          <w:lang w:val="en-GB"/>
                        </w:rPr>
                        <w:t>In keeping with the slogan of the conference “From words into action - Combating youth unemployment and marginalization”, the Joint Technical Secretariats of the South Baltic and Central Baltic cross-border co-operation programmes have designed a workshop to showcase commendable cross-border initiatives in the field of youth welfare. The session took place on 3rd October, and was attended by more than 60 representatives of Baltic cities and their youth organisations.</w:t>
                      </w:r>
                    </w:p>
                    <w:p w:rsidR="00B25BBF" w:rsidRPr="00B25BBF" w:rsidRDefault="00B25BBF" w:rsidP="00B25BBF">
                      <w:pPr>
                        <w:pStyle w:val="Bezodstpw"/>
                        <w:numPr>
                          <w:ilvl w:val="0"/>
                          <w:numId w:val="0"/>
                        </w:numPr>
                        <w:rPr>
                          <w:lang w:val="en-GB"/>
                        </w:rPr>
                      </w:pPr>
                      <w:r w:rsidRPr="00B25BBF">
                        <w:rPr>
                          <w:lang w:val="en-GB"/>
                        </w:rPr>
                        <w:t xml:space="preserve">Insights into the programmes and their future prospects as well as into the youth welfare efforts made by their beneficiaries were provided by Thorsten Kohlisch, head of the South Baltic secretariat and Bo Storrank, acting head of the Central Baltic secretariat. The principle of cross-border co-operation obtained strong political endorsement from high-level representatives of cities involved in youth-related cross-border projects during a subsequent panel discussion. In particular, Mayor Roland </w:t>
                      </w:r>
                      <w:proofErr w:type="spellStart"/>
                      <w:r w:rsidRPr="00B25BBF">
                        <w:rPr>
                          <w:lang w:val="en-GB"/>
                        </w:rPr>
                        <w:t>Methling</w:t>
                      </w:r>
                      <w:proofErr w:type="spellEnd"/>
                      <w:r w:rsidRPr="00B25BBF">
                        <w:rPr>
                          <w:lang w:val="en-GB"/>
                        </w:rPr>
                        <w:t xml:space="preserve"> of </w:t>
                      </w:r>
                      <w:proofErr w:type="spellStart"/>
                      <w:r w:rsidRPr="00B25BBF">
                        <w:rPr>
                          <w:lang w:val="en-GB"/>
                        </w:rPr>
                        <w:t>Rostock</w:t>
                      </w:r>
                      <w:proofErr w:type="spellEnd"/>
                      <w:r w:rsidRPr="00B25BBF">
                        <w:rPr>
                          <w:lang w:val="en-GB"/>
                        </w:rPr>
                        <w:t xml:space="preserve">, Councillor </w:t>
                      </w:r>
                      <w:proofErr w:type="spellStart"/>
                      <w:r w:rsidRPr="00B25BBF">
                        <w:rPr>
                          <w:lang w:val="en-GB"/>
                        </w:rPr>
                        <w:t>Maja</w:t>
                      </w:r>
                      <w:proofErr w:type="spellEnd"/>
                      <w:r w:rsidRPr="00B25BBF">
                        <w:rPr>
                          <w:lang w:val="en-GB"/>
                        </w:rPr>
                        <w:t xml:space="preserve"> Wagner of Gdynia, Deputy Mayor </w:t>
                      </w:r>
                      <w:proofErr w:type="spellStart"/>
                      <w:r w:rsidRPr="00B25BBF">
                        <w:rPr>
                          <w:lang w:val="en-GB"/>
                        </w:rPr>
                        <w:t>Taavi</w:t>
                      </w:r>
                      <w:proofErr w:type="spellEnd"/>
                      <w:r w:rsidRPr="00B25BBF">
                        <w:rPr>
                          <w:lang w:val="en-GB"/>
                        </w:rPr>
                        <w:t xml:space="preserve"> </w:t>
                      </w:r>
                      <w:proofErr w:type="spellStart"/>
                      <w:r w:rsidRPr="00B25BBF">
                        <w:rPr>
                          <w:lang w:val="en-GB"/>
                        </w:rPr>
                        <w:t>Aas</w:t>
                      </w:r>
                      <w:proofErr w:type="spellEnd"/>
                      <w:r w:rsidRPr="00B25BBF">
                        <w:rPr>
                          <w:lang w:val="en-GB"/>
                        </w:rPr>
                        <w:t xml:space="preserve"> of Tallinn,  Mayor </w:t>
                      </w:r>
                      <w:proofErr w:type="spellStart"/>
                      <w:r w:rsidRPr="00B25BBF">
                        <w:rPr>
                          <w:lang w:val="en-GB"/>
                        </w:rPr>
                        <w:t>Mihkel</w:t>
                      </w:r>
                      <w:proofErr w:type="spellEnd"/>
                      <w:r w:rsidRPr="00B25BBF">
                        <w:rPr>
                          <w:lang w:val="en-GB"/>
                        </w:rPr>
                        <w:t xml:space="preserve"> </w:t>
                      </w:r>
                      <w:proofErr w:type="spellStart"/>
                      <w:r w:rsidRPr="00B25BBF">
                        <w:rPr>
                          <w:lang w:val="en-GB"/>
                        </w:rPr>
                        <w:t>Kübar</w:t>
                      </w:r>
                      <w:proofErr w:type="spellEnd"/>
                      <w:r w:rsidRPr="00B25BBF">
                        <w:rPr>
                          <w:lang w:val="en-GB"/>
                        </w:rPr>
                        <w:t xml:space="preserve"> of </w:t>
                      </w:r>
                      <w:proofErr w:type="spellStart"/>
                      <w:r w:rsidRPr="00B25BBF">
                        <w:rPr>
                          <w:lang w:val="en-GB"/>
                        </w:rPr>
                        <w:t>Jõgeva</w:t>
                      </w:r>
                      <w:proofErr w:type="spellEnd"/>
                      <w:r w:rsidRPr="00B25BBF">
                        <w:rPr>
                          <w:lang w:val="en-GB"/>
                        </w:rPr>
                        <w:t xml:space="preserve"> and Deputy Mayor </w:t>
                      </w:r>
                      <w:proofErr w:type="spellStart"/>
                      <w:r w:rsidRPr="00B25BBF">
                        <w:rPr>
                          <w:lang w:val="en-GB"/>
                        </w:rPr>
                        <w:t>Birgitta</w:t>
                      </w:r>
                      <w:proofErr w:type="spellEnd"/>
                      <w:r w:rsidRPr="00B25BBF">
                        <w:rPr>
                          <w:lang w:val="en-GB"/>
                        </w:rPr>
                        <w:t xml:space="preserve"> </w:t>
                      </w:r>
                      <w:proofErr w:type="spellStart"/>
                      <w:r w:rsidRPr="00B25BBF">
                        <w:rPr>
                          <w:lang w:val="en-GB"/>
                        </w:rPr>
                        <w:t>Ståhl</w:t>
                      </w:r>
                      <w:proofErr w:type="spellEnd"/>
                      <w:r w:rsidRPr="00B25BBF">
                        <w:rPr>
                          <w:lang w:val="en-GB"/>
                        </w:rPr>
                        <w:t xml:space="preserve"> </w:t>
                      </w:r>
                      <w:proofErr w:type="spellStart"/>
                      <w:r w:rsidRPr="00B25BBF">
                        <w:rPr>
                          <w:lang w:val="en-GB"/>
                        </w:rPr>
                        <w:t>Öckinger</w:t>
                      </w:r>
                      <w:proofErr w:type="spellEnd"/>
                      <w:r w:rsidRPr="00B25BBF">
                        <w:rPr>
                          <w:lang w:val="en-GB"/>
                        </w:rPr>
                        <w:t xml:space="preserve"> of </w:t>
                      </w:r>
                      <w:proofErr w:type="spellStart"/>
                      <w:r w:rsidRPr="00B25BBF">
                        <w:rPr>
                          <w:lang w:val="en-GB"/>
                        </w:rPr>
                        <w:t>Linköping</w:t>
                      </w:r>
                      <w:proofErr w:type="spellEnd"/>
                      <w:r w:rsidRPr="00B25BBF">
                        <w:rPr>
                          <w:lang w:val="en-GB"/>
                        </w:rPr>
                        <w:t xml:space="preserve"> expressed their belief and confidence in the values of cross-border co-operation. Moderated by </w:t>
                      </w:r>
                      <w:proofErr w:type="spellStart"/>
                      <w:r w:rsidRPr="00B25BBF">
                        <w:rPr>
                          <w:lang w:val="en-GB"/>
                        </w:rPr>
                        <w:t>Ilona</w:t>
                      </w:r>
                      <w:proofErr w:type="spellEnd"/>
                      <w:r w:rsidRPr="00B25BBF">
                        <w:rPr>
                          <w:lang w:val="en-GB"/>
                        </w:rPr>
                        <w:t xml:space="preserve"> </w:t>
                      </w:r>
                      <w:proofErr w:type="spellStart"/>
                      <w:r w:rsidRPr="00B25BBF">
                        <w:rPr>
                          <w:lang w:val="en-GB"/>
                        </w:rPr>
                        <w:t>Evelyn</w:t>
                      </w:r>
                      <w:proofErr w:type="spellEnd"/>
                      <w:r w:rsidRPr="00B25BBF">
                        <w:rPr>
                          <w:lang w:val="en-GB"/>
                        </w:rPr>
                        <w:t xml:space="preserve"> </w:t>
                      </w:r>
                      <w:proofErr w:type="spellStart"/>
                      <w:r w:rsidRPr="00B25BBF">
                        <w:rPr>
                          <w:lang w:val="en-GB"/>
                        </w:rPr>
                        <w:t>Rannala</w:t>
                      </w:r>
                      <w:proofErr w:type="spellEnd"/>
                      <w:r w:rsidRPr="00B25BBF">
                        <w:rPr>
                          <w:lang w:val="en-GB"/>
                        </w:rPr>
                        <w:t>, Head of the Youth Department of Tallinn's City Government, the panel session has been following two discussion threads: “The cross-border experience: enhancing youth welfare policies through co-operation across borders” and “Catch the Baltic winds in your sails: generating the feeling of belonging and taking care”. Bringing the idea of INTERREG into practice, the panel discussion thus turned into an exchange on good practices between the participating cities, allowing the panellists to share solutions for better youth involvement in local policy-making processes.</w:t>
                      </w:r>
                    </w:p>
                    <w:p w:rsidR="00B25BBF" w:rsidRPr="00B25BBF" w:rsidRDefault="00B25BBF" w:rsidP="00B25BBF">
                      <w:pPr>
                        <w:pStyle w:val="Bezodstpw"/>
                        <w:numPr>
                          <w:ilvl w:val="0"/>
                          <w:numId w:val="0"/>
                        </w:numPr>
                        <w:rPr>
                          <w:lang w:val="en-GB"/>
                        </w:rPr>
                      </w:pPr>
                      <w:r w:rsidRPr="00B25BBF">
                        <w:rPr>
                          <w:lang w:val="en-GB"/>
                        </w:rPr>
                        <w:t>In addition, Christian Weinberger, senior adviser on SMEs &amp; Entrepreneurship at DG Enterprise and Industry of the European Commission addressed the aspects of youth entrepreneurship, young qualified staff as a resource for SME growth as well as the role of cross-border co-operation in SME and entrepreneurship policies.</w:t>
                      </w:r>
                    </w:p>
                    <w:p w:rsidR="00B25BBF" w:rsidRPr="00B25BBF" w:rsidRDefault="00B25BBF" w:rsidP="00B25BBF">
                      <w:pPr>
                        <w:pStyle w:val="Bezodstpw"/>
                        <w:numPr>
                          <w:ilvl w:val="0"/>
                          <w:numId w:val="0"/>
                        </w:numPr>
                        <w:rPr>
                          <w:lang w:val="en-GB"/>
                        </w:rPr>
                      </w:pPr>
                      <w:r w:rsidRPr="00B25BBF">
                        <w:rPr>
                          <w:lang w:val="en-GB"/>
                        </w:rPr>
                        <w:t>The main goal of the workshop was to showcase benefits, and encourage Baltic cities to follow in the footsteps of their counterparts who already advocate the idea of cross-border co-operation.</w:t>
                      </w:r>
                    </w:p>
                    <w:p w:rsidR="00AA24E6" w:rsidRPr="00B25BBF" w:rsidRDefault="00B25BBF" w:rsidP="00B25BBF">
                      <w:pPr>
                        <w:pStyle w:val="Bezodstpw"/>
                        <w:numPr>
                          <w:ilvl w:val="0"/>
                          <w:numId w:val="0"/>
                        </w:numPr>
                        <w:rPr>
                          <w:lang w:val="en-GB"/>
                        </w:rPr>
                      </w:pPr>
                      <w:r w:rsidRPr="00B25BBF">
                        <w:rPr>
                          <w:lang w:val="en-GB"/>
                        </w:rPr>
                        <w:t xml:space="preserve">Furthermore, both programme representatives took the opportunity to update the audience on their preparatory works for the programming period 2014-2020. While the Member States and the European Commission expressed their support for the continuation of both programmes, the negotiations on their priorities, objectives and management are still ongoing. As presented by Bo Storrank, the future programme for the Central Baltic region will focus on the thematic priorities of SME development, environmental protection, resource-efficiency, transport as well as education and lifelong learning, accompanied by the horizontal themes of ICT and low-carbon economy. In the South Baltic area, the fields of business innovation and internationalisation, the protection of cultural and natural heritage, green technologies, transport, labour mobility and cooperation between institutions and citizens have been identified by the Member States and </w:t>
                      </w:r>
                      <w:proofErr w:type="spellStart"/>
                      <w:r w:rsidRPr="00B25BBF">
                        <w:rPr>
                          <w:lang w:val="en-GB"/>
                        </w:rPr>
                        <w:t>Euroregions</w:t>
                      </w:r>
                      <w:proofErr w:type="spellEnd"/>
                      <w:r w:rsidRPr="00B25BBF">
                        <w:rPr>
                          <w:lang w:val="en-GB"/>
                        </w:rPr>
                        <w:t xml:space="preserve"> as potential priorities for future cooperation, to be agreed and decided in the coming months. As a result of the workshop and the subsequent plenary session, both programme representatives also took one message from the UBC community back home: When discussing the next generation of cross-border projects between cities and municipalities across the shores of the Baltic Sea, not only large-scale projects shall be considered. Indeed, very often projects with smaller budgets and partnerships can make a difference, as they allow newcomers and local actors to benefit from INTERREG and thus may prepare the ground for more ambitious cooperation initiatives in the future.</w:t>
                      </w:r>
                    </w:p>
                    <w:p w:rsidR="00AA24E6" w:rsidRPr="00B25BBF" w:rsidRDefault="00AA24E6" w:rsidP="00B25BBF">
                      <w:pPr>
                        <w:shd w:val="clear" w:color="auto" w:fill="FFFFFF" w:themeFill="background1"/>
                        <w:rPr>
                          <w:color w:val="0055A5"/>
                          <w:lang w:val="en-GB"/>
                        </w:rPr>
                      </w:pPr>
                    </w:p>
                    <w:p w:rsidR="00AA24E6" w:rsidRPr="00B25BBF" w:rsidRDefault="00AA24E6" w:rsidP="00B25BBF">
                      <w:pPr>
                        <w:shd w:val="clear" w:color="auto" w:fill="FFFFFF" w:themeFill="background1"/>
                        <w:rPr>
                          <w:lang w:val="en-GB"/>
                        </w:rPr>
                      </w:pPr>
                    </w:p>
                    <w:p w:rsidR="00AA24E6" w:rsidRPr="00B25BBF" w:rsidRDefault="00AA24E6" w:rsidP="00B25BBF">
                      <w:pPr>
                        <w:shd w:val="clear" w:color="auto" w:fill="FFFFFF" w:themeFill="background1"/>
                      </w:pPr>
                    </w:p>
                  </w:txbxContent>
                </v:textbox>
                <w10:wrap anchorx="page"/>
              </v:shape>
            </w:pict>
          </w:r>
          <w:r w:rsidR="004B1907" w:rsidRPr="004B1907">
            <w:rPr>
              <w:noProof/>
              <w:lang w:eastAsia="en-US"/>
            </w:rPr>
            <w:pict>
              <v:group id="_x0000_s1031" style="position:absolute;margin-left:-70.45pt;margin-top:-.3pt;width:335.7pt;height:633.75pt;z-index:251658238;mso-width-percent:400;mso-position-horizontal-relative:page;mso-position-vertical-relative:page;mso-width-percent:400" coordorigin="7329" coordsize="4911,15840" o:allowincell="f">
                <v:group id="_x0000_s103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3" style="position:absolute;left:7755;width:4505;height:15840;mso-height-percent:1000;mso-position-vertical:top;mso-position-vertical-relative:page;mso-height-percent:1000" fillcolor="#0055a5" stroked="f" strokecolor="#f2f2f2 [3041]" strokeweight="3pt">
                    <v:fill rotate="t"/>
                    <v:shadow on="t" type="perspective" color="#622423 [1605]" opacity=".5" offset="1pt" offset2="-1pt"/>
                  </v:rect>
                  <v:rect id="_x0000_s1034"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5"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5" inset="28.8pt,14.4pt,14.4pt,14.4pt">
                    <w:txbxContent>
                      <w:p w:rsidR="00AA24E6" w:rsidRDefault="00AA24E6" w:rsidP="00AA24E6">
                        <w:pPr>
                          <w:ind w:left="1134"/>
                          <w:rPr>
                            <w:i/>
                            <w:color w:val="FFFFFF" w:themeColor="background1"/>
                            <w:sz w:val="40"/>
                            <w:szCs w:val="40"/>
                          </w:rPr>
                        </w:pPr>
                        <w:r>
                          <w:rPr>
                            <w:i/>
                            <w:color w:val="FFFFFF" w:themeColor="background1"/>
                            <w:sz w:val="40"/>
                            <w:szCs w:val="40"/>
                          </w:rPr>
                          <w:t xml:space="preserve">Crossing borders for youth </w:t>
                        </w:r>
                        <w:r w:rsidR="00C2045F">
                          <w:rPr>
                            <w:i/>
                            <w:color w:val="FFFFFF" w:themeColor="background1"/>
                            <w:sz w:val="40"/>
                            <w:szCs w:val="40"/>
                          </w:rPr>
                          <w:t>welfare</w:t>
                        </w:r>
                      </w:p>
                      <w:p w:rsidR="00AA24E6" w:rsidRPr="00B25BBF" w:rsidRDefault="00B25BBF" w:rsidP="00B25BBF">
                        <w:pPr>
                          <w:ind w:left="1134"/>
                          <w:rPr>
                            <w:i/>
                            <w:color w:val="FFFFFF" w:themeColor="background1"/>
                            <w:sz w:val="40"/>
                            <w:szCs w:val="40"/>
                          </w:rPr>
                        </w:pPr>
                        <w:r>
                          <w:rPr>
                            <w:i/>
                            <w:color w:val="FFFFFF" w:themeColor="background1"/>
                            <w:sz w:val="40"/>
                            <w:szCs w:val="40"/>
                          </w:rPr>
                          <w:t xml:space="preserve">Summary of Workshop 4 </w:t>
                        </w:r>
                      </w:p>
                      <w:p w:rsidR="00AA24E6" w:rsidRPr="0035345A" w:rsidRDefault="00AA24E6" w:rsidP="0035345A">
                        <w:pPr>
                          <w:rPr>
                            <w:lang w:val="en-GB"/>
                          </w:rPr>
                        </w:pPr>
                      </w:p>
                      <w:p w:rsidR="00AA24E6" w:rsidRPr="0035345A" w:rsidRDefault="00AA24E6" w:rsidP="00A26388">
                        <w:pPr>
                          <w:pStyle w:val="Bezodstpw"/>
                          <w:rPr>
                            <w:rFonts w:eastAsiaTheme="majorEastAsia"/>
                            <w:lang w:val="en-GB"/>
                          </w:rPr>
                        </w:pPr>
                      </w:p>
                    </w:txbxContent>
                  </v:textbox>
                </v:rect>
                <v:rect id="_x0000_s1036"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6" inset="28.8pt,14.4pt,14.4pt,14.4pt">
                    <w:txbxContent>
                      <w:p w:rsidR="00AA24E6" w:rsidRDefault="00AA24E6" w:rsidP="004A18B8">
                        <w:pPr>
                          <w:ind w:left="1276" w:right="-127"/>
                          <w:rPr>
                            <w:noProof/>
                            <w:color w:val="FFFFFF" w:themeColor="background1"/>
                            <w:sz w:val="24"/>
                            <w:lang w:eastAsia="en-GB"/>
                          </w:rPr>
                        </w:pPr>
                        <w:r>
                          <w:rPr>
                            <w:noProof/>
                            <w:color w:val="FFFFFF" w:themeColor="background1"/>
                            <w:sz w:val="24"/>
                            <w:lang w:eastAsia="en-GB"/>
                          </w:rPr>
                          <w:t>XII General Conference of the Union of Baltic Cities</w:t>
                        </w:r>
                      </w:p>
                      <w:p w:rsidR="00AA24E6" w:rsidRDefault="00AA24E6" w:rsidP="004A18B8">
                        <w:pPr>
                          <w:ind w:left="1276" w:right="-269"/>
                          <w:rPr>
                            <w:noProof/>
                            <w:color w:val="FFFFFF" w:themeColor="background1"/>
                            <w:sz w:val="24"/>
                            <w:lang w:eastAsia="en-GB"/>
                          </w:rPr>
                        </w:pPr>
                        <w:r>
                          <w:rPr>
                            <w:noProof/>
                            <w:color w:val="FFFFFF" w:themeColor="background1"/>
                            <w:sz w:val="24"/>
                            <w:lang w:eastAsia="en-GB"/>
                          </w:rPr>
                          <w:t>3</w:t>
                        </w:r>
                        <w:r w:rsidRPr="004A18B8">
                          <w:rPr>
                            <w:noProof/>
                            <w:color w:val="FFFFFF" w:themeColor="background1"/>
                            <w:sz w:val="24"/>
                            <w:vertAlign w:val="superscript"/>
                            <w:lang w:eastAsia="en-GB"/>
                          </w:rPr>
                          <w:t>rd</w:t>
                        </w:r>
                        <w:r>
                          <w:rPr>
                            <w:noProof/>
                            <w:color w:val="FFFFFF" w:themeColor="background1"/>
                            <w:sz w:val="24"/>
                            <w:lang w:eastAsia="en-GB"/>
                          </w:rPr>
                          <w:t xml:space="preserve"> O</w:t>
                        </w:r>
                        <w:r w:rsidR="00AE31E7">
                          <w:rPr>
                            <w:noProof/>
                            <w:color w:val="FFFFFF" w:themeColor="background1"/>
                            <w:sz w:val="24"/>
                            <w:lang w:eastAsia="en-GB"/>
                          </w:rPr>
                          <w:t>ctober 2013, Mariehamn – Åland</w:t>
                        </w:r>
                      </w:p>
                      <w:p w:rsidR="00AA24E6" w:rsidRDefault="00AA24E6" w:rsidP="004A18B8">
                        <w:pPr>
                          <w:ind w:left="1276" w:right="-127"/>
                          <w:rPr>
                            <w:b/>
                            <w:noProof/>
                            <w:color w:val="FFFFFF" w:themeColor="background1"/>
                            <w:sz w:val="24"/>
                            <w:lang w:eastAsia="en-GB"/>
                          </w:rPr>
                        </w:pPr>
                        <w:r w:rsidRPr="004A18B8">
                          <w:rPr>
                            <w:b/>
                            <w:noProof/>
                            <w:color w:val="FFFFFF" w:themeColor="background1"/>
                            <w:sz w:val="24"/>
                            <w:lang w:eastAsia="en-GB"/>
                          </w:rPr>
                          <w:t>Workshop</w:t>
                        </w:r>
                        <w:r w:rsidR="00AE31E7">
                          <w:rPr>
                            <w:b/>
                            <w:noProof/>
                            <w:color w:val="FFFFFF" w:themeColor="background1"/>
                            <w:sz w:val="24"/>
                            <w:lang w:eastAsia="en-GB"/>
                          </w:rPr>
                          <w:t xml:space="preserve"> 4</w:t>
                        </w:r>
                        <w:r w:rsidRPr="004A18B8">
                          <w:rPr>
                            <w:b/>
                            <w:noProof/>
                            <w:color w:val="FFFFFF" w:themeColor="background1"/>
                            <w:sz w:val="24"/>
                            <w:lang w:eastAsia="en-GB"/>
                          </w:rPr>
                          <w:t>: 10:00 – 12:30</w:t>
                        </w:r>
                      </w:p>
                      <w:p w:rsidR="00AA24E6" w:rsidRPr="004A18B8" w:rsidRDefault="00AA24E6" w:rsidP="004A18B8">
                        <w:pPr>
                          <w:ind w:left="1276" w:right="-127"/>
                          <w:rPr>
                            <w:i/>
                            <w:noProof/>
                            <w:color w:val="FFFFFF" w:themeColor="background1"/>
                            <w:sz w:val="24"/>
                            <w:lang w:eastAsia="en-GB"/>
                          </w:rPr>
                        </w:pPr>
                        <w:r w:rsidRPr="004A18B8">
                          <w:rPr>
                            <w:i/>
                            <w:noProof/>
                            <w:color w:val="FFFFFF" w:themeColor="background1"/>
                            <w:sz w:val="24"/>
                            <w:lang w:eastAsia="en-GB"/>
                          </w:rPr>
                          <w:t>W.4  Regional INTERREG IV Programmes for the Baltic Sea Region</w:t>
                        </w:r>
                      </w:p>
                      <w:p w:rsidR="00AA24E6" w:rsidRPr="004A18B8" w:rsidRDefault="00AA24E6" w:rsidP="004A18B8">
                        <w:pPr>
                          <w:ind w:left="993" w:right="-127"/>
                          <w:rPr>
                            <w:noProof/>
                            <w:color w:val="FFFFFF" w:themeColor="background1"/>
                            <w:sz w:val="24"/>
                            <w:lang w:eastAsia="en-GB"/>
                          </w:rPr>
                        </w:pPr>
                      </w:p>
                      <w:p w:rsidR="00AA24E6" w:rsidRPr="0035345A" w:rsidRDefault="00AA24E6" w:rsidP="0035345A">
                        <w:pPr>
                          <w:ind w:left="1701"/>
                          <w:rPr>
                            <w:lang w:val="en-GB"/>
                          </w:rPr>
                        </w:pPr>
                      </w:p>
                    </w:txbxContent>
                  </v:textbox>
                </v:rect>
                <w10:wrap anchorx="page" anchory="page"/>
              </v:group>
            </w:pict>
          </w:r>
        </w:p>
      </w:sdtContent>
    </w:sdt>
    <w:sectPr w:rsidR="0035345A" w:rsidRPr="00D9206E" w:rsidSect="0035345A">
      <w:headerReference w:type="default" r:id="rId10"/>
      <w:headerReference w:type="first" r:id="rId11"/>
      <w:type w:val="continuous"/>
      <w:pgSz w:w="16840" w:h="11907" w:orient="landscape" w:code="9"/>
      <w:pgMar w:top="1702" w:right="720" w:bottom="720" w:left="720" w:header="709" w:footer="23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92B" w:rsidRDefault="00D8792B" w:rsidP="008911DA">
      <w:pPr>
        <w:spacing w:before="0" w:after="0"/>
      </w:pPr>
      <w:r>
        <w:separator/>
      </w:r>
    </w:p>
  </w:endnote>
  <w:endnote w:type="continuationSeparator" w:id="0">
    <w:p w:rsidR="00D8792B" w:rsidRDefault="00D8792B" w:rsidP="008911D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92B" w:rsidRDefault="00D8792B" w:rsidP="008911DA">
      <w:pPr>
        <w:spacing w:before="0" w:after="0"/>
      </w:pPr>
      <w:r>
        <w:separator/>
      </w:r>
    </w:p>
  </w:footnote>
  <w:footnote w:type="continuationSeparator" w:id="0">
    <w:p w:rsidR="00D8792B" w:rsidRDefault="00D8792B" w:rsidP="008911D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E6" w:rsidRDefault="00AA24E6">
    <w:pPr>
      <w:pStyle w:val="Nagwek"/>
    </w:pPr>
    <w:r>
      <w:rPr>
        <w:noProof/>
        <w:lang w:val="pl-PL" w:eastAsia="pl-PL"/>
      </w:rPr>
      <w:drawing>
        <wp:anchor distT="0" distB="0" distL="114300" distR="114300" simplePos="0" relativeHeight="251668480" behindDoc="0" locked="0" layoutInCell="1" allowOverlap="1">
          <wp:simplePos x="0" y="0"/>
          <wp:positionH relativeFrom="page">
            <wp:posOffset>6454356</wp:posOffset>
          </wp:positionH>
          <wp:positionV relativeFrom="page">
            <wp:posOffset>250166</wp:posOffset>
          </wp:positionV>
          <wp:extent cx="783207" cy="534838"/>
          <wp:effectExtent l="19050" t="0" r="0" b="0"/>
          <wp:wrapNone/>
          <wp:docPr id="13" name="Picture 4" descr="S:\Information and promotion\Logos\EU emblem\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formation and promotion\Logos\EU emblem\EU_logo.jpg"/>
                  <pic:cNvPicPr>
                    <a:picLocks noChangeAspect="1" noChangeArrowheads="1"/>
                  </pic:cNvPicPr>
                </pic:nvPicPr>
                <pic:blipFill>
                  <a:blip r:embed="rId1"/>
                  <a:srcRect/>
                  <a:stretch>
                    <a:fillRect/>
                  </a:stretch>
                </pic:blipFill>
                <pic:spPr bwMode="auto">
                  <a:xfrm>
                    <a:off x="0" y="0"/>
                    <a:ext cx="783207" cy="534838"/>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67456" behindDoc="0" locked="0" layoutInCell="1" allowOverlap="1">
          <wp:simplePos x="0" y="0"/>
          <wp:positionH relativeFrom="page">
            <wp:posOffset>1382024</wp:posOffset>
          </wp:positionH>
          <wp:positionV relativeFrom="page">
            <wp:posOffset>198407</wp:posOffset>
          </wp:positionV>
          <wp:extent cx="1154142" cy="862642"/>
          <wp:effectExtent l="19050" t="0" r="0" b="0"/>
          <wp:wrapNone/>
          <wp:docPr id="14" name="Picture 1" descr="CB_logo_300rgb.gif"/>
          <wp:cNvGraphicFramePr/>
          <a:graphic xmlns:a="http://schemas.openxmlformats.org/drawingml/2006/main">
            <a:graphicData uri="http://schemas.openxmlformats.org/drawingml/2006/picture">
              <pic:pic xmlns:pic="http://schemas.openxmlformats.org/drawingml/2006/picture">
                <pic:nvPicPr>
                  <pic:cNvPr id="11" name="Picture 8" descr="CB_logo_300rgb.gif"/>
                  <pic:cNvPicPr>
                    <a:picLocks noChangeAspect="1"/>
                  </pic:cNvPicPr>
                </pic:nvPicPr>
                <pic:blipFill>
                  <a:blip r:embed="rId2" cstate="print"/>
                  <a:srcRect r="54776"/>
                  <a:stretch>
                    <a:fillRect/>
                  </a:stretch>
                </pic:blipFill>
                <pic:spPr bwMode="auto">
                  <a:xfrm>
                    <a:off x="0" y="0"/>
                    <a:ext cx="1154142" cy="862642"/>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69504" behindDoc="0" locked="0" layoutInCell="1" allowOverlap="1">
          <wp:simplePos x="0" y="0"/>
          <wp:positionH relativeFrom="page">
            <wp:posOffset>260589</wp:posOffset>
          </wp:positionH>
          <wp:positionV relativeFrom="page">
            <wp:posOffset>69012</wp:posOffset>
          </wp:positionV>
          <wp:extent cx="1020302" cy="793630"/>
          <wp:effectExtent l="19050" t="0" r="8398" b="0"/>
          <wp:wrapNone/>
          <wp:docPr id="15" name="Picture 3" descr="S:\Information and promotion\Logos\SB Logos\logo_SBP_1-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formation and promotion\Logos\SB Logos\logo_SBP_1-medium.jpg"/>
                  <pic:cNvPicPr>
                    <a:picLocks noChangeAspect="1" noChangeArrowheads="1"/>
                  </pic:cNvPicPr>
                </pic:nvPicPr>
                <pic:blipFill>
                  <a:blip r:embed="rId3"/>
                  <a:srcRect/>
                  <a:stretch>
                    <a:fillRect/>
                  </a:stretch>
                </pic:blipFill>
                <pic:spPr bwMode="auto">
                  <a:xfrm>
                    <a:off x="0" y="0"/>
                    <a:ext cx="1020302" cy="793630"/>
                  </a:xfrm>
                  <a:prstGeom prst="rect">
                    <a:avLst/>
                  </a:prstGeom>
                  <a:noFill/>
                  <a:ln w="9525">
                    <a:noFill/>
                    <a:miter lim="800000"/>
                    <a:headEnd/>
                    <a:tailEnd/>
                  </a:ln>
                </pic:spPr>
              </pic:pic>
            </a:graphicData>
          </a:graphic>
        </wp:anchor>
      </w:drawing>
    </w:r>
  </w:p>
  <w:p w:rsidR="00AA24E6" w:rsidRDefault="00AA24E6">
    <w:pPr>
      <w:pStyle w:val="Nagwek"/>
    </w:pPr>
  </w:p>
  <w:p w:rsidR="00AA24E6" w:rsidRDefault="00AA24E6">
    <w:pPr>
      <w:pStyle w:val="Nagwek"/>
    </w:pPr>
  </w:p>
  <w:p w:rsidR="00AA24E6" w:rsidRPr="00656B3B" w:rsidRDefault="00AA24E6" w:rsidP="00656B3B">
    <w:pPr>
      <w:ind w:left="-851"/>
      <w:rPr>
        <w:color w:val="808080"/>
        <w:lang w:val="en-GB"/>
      </w:rPr>
    </w:pPr>
    <w:bookmarkStart w:id="0" w:name="_Toc290960279"/>
    <w:r w:rsidRPr="00656B3B">
      <w:rPr>
        <w:color w:val="808080"/>
        <w:lang w:val="en-GB"/>
      </w:rPr>
      <w:t xml:space="preserve"> </w:t>
    </w:r>
    <w:bookmarkEnd w:id="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E6" w:rsidRDefault="004A01B7" w:rsidP="00F86C13">
    <w:pPr>
      <w:pStyle w:val="Nagwek"/>
      <w:tabs>
        <w:tab w:val="clear" w:pos="4513"/>
        <w:tab w:val="clear" w:pos="9026"/>
        <w:tab w:val="center" w:pos="7700"/>
        <w:tab w:val="left" w:pos="10884"/>
        <w:tab w:val="left" w:pos="13228"/>
      </w:tabs>
    </w:pPr>
    <w:r>
      <w:rPr>
        <w:noProof/>
        <w:lang w:val="pl-PL" w:eastAsia="pl-PL"/>
      </w:rPr>
      <w:drawing>
        <wp:anchor distT="0" distB="0" distL="114300" distR="114300" simplePos="0" relativeHeight="251662336" behindDoc="0" locked="0" layoutInCell="1" allowOverlap="1">
          <wp:simplePos x="0" y="0"/>
          <wp:positionH relativeFrom="page">
            <wp:posOffset>4698365</wp:posOffset>
          </wp:positionH>
          <wp:positionV relativeFrom="page">
            <wp:posOffset>0</wp:posOffset>
          </wp:positionV>
          <wp:extent cx="1274445" cy="977900"/>
          <wp:effectExtent l="19050" t="0" r="1905" b="0"/>
          <wp:wrapNone/>
          <wp:docPr id="10" name="Picture 3" descr="S:\Information and promotion\Logos\SB Logos\logo_SBP_1-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formation and promotion\Logos\SB Logos\logo_SBP_1-medium.jpg"/>
                  <pic:cNvPicPr>
                    <a:picLocks noChangeAspect="1" noChangeArrowheads="1"/>
                  </pic:cNvPicPr>
                </pic:nvPicPr>
                <pic:blipFill>
                  <a:blip r:embed="rId1"/>
                  <a:srcRect/>
                  <a:stretch>
                    <a:fillRect/>
                  </a:stretch>
                </pic:blipFill>
                <pic:spPr bwMode="auto">
                  <a:xfrm>
                    <a:off x="0" y="0"/>
                    <a:ext cx="1274445" cy="97790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72576" behindDoc="0" locked="0" layoutInCell="1" allowOverlap="1">
          <wp:simplePos x="0" y="0"/>
          <wp:positionH relativeFrom="page">
            <wp:posOffset>3442335</wp:posOffset>
          </wp:positionH>
          <wp:positionV relativeFrom="topMargin">
            <wp:posOffset>0</wp:posOffset>
          </wp:positionV>
          <wp:extent cx="1256665" cy="1111250"/>
          <wp:effectExtent l="19050" t="0" r="635" b="0"/>
          <wp:wrapSquare wrapText="bothSides"/>
          <wp:docPr id="4" name="irc_mi" descr="http://www.lg-action.eu/fileadmin/template/projects/lg-action/files/it/UBC_logo.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g-action.eu/fileadmin/template/projects/lg-action/files/it/UBC_logo.JPG">
                    <a:hlinkClick r:id="rId2"/>
                  </pic:cNvPr>
                  <pic:cNvPicPr>
                    <a:picLocks noChangeAspect="1" noChangeArrowheads="1"/>
                  </pic:cNvPicPr>
                </pic:nvPicPr>
                <pic:blipFill>
                  <a:blip r:embed="rId3"/>
                  <a:srcRect/>
                  <a:stretch>
                    <a:fillRect/>
                  </a:stretch>
                </pic:blipFill>
                <pic:spPr bwMode="auto">
                  <a:xfrm>
                    <a:off x="0" y="0"/>
                    <a:ext cx="1256665" cy="111125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71552" behindDoc="1" locked="0" layoutInCell="1" allowOverlap="1">
          <wp:simplePos x="0" y="0"/>
          <wp:positionH relativeFrom="page">
            <wp:posOffset>8056880</wp:posOffset>
          </wp:positionH>
          <wp:positionV relativeFrom="topMargin">
            <wp:posOffset>212090</wp:posOffset>
          </wp:positionV>
          <wp:extent cx="2479040" cy="509905"/>
          <wp:effectExtent l="19050" t="0" r="0" b="0"/>
          <wp:wrapTight wrapText="bothSides">
            <wp:wrapPolygon edited="0">
              <wp:start x="-166" y="0"/>
              <wp:lineTo x="-166" y="20981"/>
              <wp:lineTo x="21578" y="20981"/>
              <wp:lineTo x="21578" y="0"/>
              <wp:lineTo x="-166" y="0"/>
            </wp:wrapPolygon>
          </wp:wrapTight>
          <wp:docPr id="6" name="Picture 6" descr="T:\INFORMATION AND PUBLICATIONS (Linda)\Logos\EU Flag\ER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NFORMATION AND PUBLICATIONS (Linda)\Logos\EU Flag\ERDF.jpg"/>
                  <pic:cNvPicPr>
                    <a:picLocks noChangeAspect="1" noChangeArrowheads="1"/>
                  </pic:cNvPicPr>
                </pic:nvPicPr>
                <pic:blipFill>
                  <a:blip r:embed="rId4"/>
                  <a:srcRect/>
                  <a:stretch>
                    <a:fillRect/>
                  </a:stretch>
                </pic:blipFill>
                <pic:spPr bwMode="auto">
                  <a:xfrm>
                    <a:off x="0" y="0"/>
                    <a:ext cx="2479040" cy="509905"/>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70528" behindDoc="1" locked="0" layoutInCell="1" allowOverlap="1">
          <wp:simplePos x="0" y="0"/>
          <wp:positionH relativeFrom="page">
            <wp:posOffset>6100445</wp:posOffset>
          </wp:positionH>
          <wp:positionV relativeFrom="topMargin">
            <wp:posOffset>212725</wp:posOffset>
          </wp:positionV>
          <wp:extent cx="1756410" cy="594995"/>
          <wp:effectExtent l="19050" t="0" r="0" b="0"/>
          <wp:wrapTight wrapText="bothSides">
            <wp:wrapPolygon edited="0">
              <wp:start x="-234" y="0"/>
              <wp:lineTo x="-234" y="20747"/>
              <wp:lineTo x="21553" y="20747"/>
              <wp:lineTo x="21553" y="0"/>
              <wp:lineTo x="-234" y="0"/>
            </wp:wrapPolygon>
          </wp:wrapTight>
          <wp:docPr id="5" name="Picture 5" descr="T:\INFORMATION AND PUBLICATIONS (Linda)\Logos\Central Baltic Logos\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NFORMATION AND PUBLICATIONS (Linda)\Logos\Central Baltic Logos\CB logo.jpg"/>
                  <pic:cNvPicPr>
                    <a:picLocks noChangeAspect="1" noChangeArrowheads="1"/>
                  </pic:cNvPicPr>
                </pic:nvPicPr>
                <pic:blipFill>
                  <a:blip r:embed="rId5"/>
                  <a:srcRect/>
                  <a:stretch>
                    <a:fillRect/>
                  </a:stretch>
                </pic:blipFill>
                <pic:spPr bwMode="auto">
                  <a:xfrm>
                    <a:off x="0" y="0"/>
                    <a:ext cx="1756410" cy="594995"/>
                  </a:xfrm>
                  <a:prstGeom prst="rect">
                    <a:avLst/>
                  </a:prstGeom>
                  <a:noFill/>
                  <a:ln w="9525">
                    <a:noFill/>
                    <a:miter lim="800000"/>
                    <a:headEnd/>
                    <a:tailEnd/>
                  </a:ln>
                </pic:spPr>
              </pic:pic>
            </a:graphicData>
          </a:graphic>
        </wp:anchor>
      </w:drawing>
    </w:r>
    <w:r w:rsidR="00F86C13">
      <w:tab/>
    </w:r>
    <w:r w:rsidR="00F86C13">
      <w:tab/>
    </w:r>
    <w:r w:rsidR="00F86C1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2pt;height:357.5pt" o:bullet="t">
        <v:imagedata r:id="rId1" o:title="SB_Flag"/>
      </v:shape>
    </w:pict>
  </w:numPicBullet>
  <w:numPicBullet w:numPicBulletId="1">
    <w:pict>
      <v:shape id="_x0000_i1029" type="#_x0000_t75" style="width:816.3pt;height:353.3pt" o:bullet="t">
        <v:imagedata r:id="rId2" o:title="bulletblue1"/>
      </v:shape>
    </w:pict>
  </w:numPicBullet>
  <w:abstractNum w:abstractNumId="0">
    <w:nsid w:val="00000001"/>
    <w:multiLevelType w:val="multilevel"/>
    <w:tmpl w:val="1F16FB3C"/>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D33AFB"/>
    <w:multiLevelType w:val="hybridMultilevel"/>
    <w:tmpl w:val="BFE092E0"/>
    <w:lvl w:ilvl="0" w:tplc="AC0A72F0">
      <w:start w:val="1"/>
      <w:numFmt w:val="bullet"/>
      <w:lvlText w:val=""/>
      <w:lvlPicBulletId w:val="1"/>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D124F"/>
    <w:multiLevelType w:val="hybridMultilevel"/>
    <w:tmpl w:val="23222AB2"/>
    <w:lvl w:ilvl="0" w:tplc="AC0A72F0">
      <w:start w:val="1"/>
      <w:numFmt w:val="bullet"/>
      <w:lvlText w:val=""/>
      <w:lvlPicBulletId w:val="1"/>
      <w:lvlJc w:val="center"/>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000366"/>
    <w:multiLevelType w:val="hybridMultilevel"/>
    <w:tmpl w:val="35F68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4B2484"/>
    <w:multiLevelType w:val="hybridMultilevel"/>
    <w:tmpl w:val="4C5A69BC"/>
    <w:lvl w:ilvl="0" w:tplc="AC0A72F0">
      <w:start w:val="1"/>
      <w:numFmt w:val="bullet"/>
      <w:lvlText w:val=""/>
      <w:lvlPicBulletId w:val="1"/>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7769C9"/>
    <w:multiLevelType w:val="hybridMultilevel"/>
    <w:tmpl w:val="29DE8F74"/>
    <w:lvl w:ilvl="0" w:tplc="AC0A72F0">
      <w:start w:val="1"/>
      <w:numFmt w:val="bullet"/>
      <w:lvlText w:val=""/>
      <w:lvlPicBulletId w:val="1"/>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BB4A6B"/>
    <w:multiLevelType w:val="hybridMultilevel"/>
    <w:tmpl w:val="0DFA9C48"/>
    <w:lvl w:ilvl="0" w:tplc="F162BC26">
      <w:start w:val="1"/>
      <w:numFmt w:val="bullet"/>
      <w:pStyle w:val="Bezodstpw"/>
      <w:lvlText w:val=""/>
      <w:lvlJc w:val="left"/>
      <w:pPr>
        <w:ind w:left="502" w:hanging="360"/>
      </w:pPr>
      <w:rPr>
        <w:rFonts w:ascii="Wingdings" w:hAnsi="Wingdings" w:hint="default"/>
        <w:color w:val="0055A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D5758A"/>
    <w:multiLevelType w:val="hybridMultilevel"/>
    <w:tmpl w:val="FF085B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81F0A05"/>
    <w:multiLevelType w:val="hybridMultilevel"/>
    <w:tmpl w:val="2C1C7E30"/>
    <w:lvl w:ilvl="0" w:tplc="AC0A72F0">
      <w:start w:val="1"/>
      <w:numFmt w:val="bullet"/>
      <w:lvlText w:val=""/>
      <w:lvlPicBulletId w:val="1"/>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F16033"/>
    <w:multiLevelType w:val="hybridMultilevel"/>
    <w:tmpl w:val="7D12A86C"/>
    <w:lvl w:ilvl="0" w:tplc="AC0A72F0">
      <w:start w:val="1"/>
      <w:numFmt w:val="bullet"/>
      <w:lvlText w:val=""/>
      <w:lvlPicBulletId w:val="1"/>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5A3788"/>
    <w:multiLevelType w:val="hybridMultilevel"/>
    <w:tmpl w:val="2364F8E4"/>
    <w:lvl w:ilvl="0" w:tplc="AC0A72F0">
      <w:start w:val="1"/>
      <w:numFmt w:val="bullet"/>
      <w:lvlText w:val=""/>
      <w:lvlPicBulletId w:val="1"/>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2B5BD5"/>
    <w:multiLevelType w:val="hybridMultilevel"/>
    <w:tmpl w:val="6734C9E8"/>
    <w:lvl w:ilvl="0" w:tplc="AC0A72F0">
      <w:start w:val="1"/>
      <w:numFmt w:val="bullet"/>
      <w:lvlText w:val=""/>
      <w:lvlPicBulletId w:val="1"/>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D0001A"/>
    <w:multiLevelType w:val="hybridMultilevel"/>
    <w:tmpl w:val="28022438"/>
    <w:lvl w:ilvl="0" w:tplc="5E681D54">
      <w:numFmt w:val="bullet"/>
      <w:lvlText w:val="–"/>
      <w:lvlJc w:val="left"/>
      <w:pPr>
        <w:ind w:left="720" w:hanging="360"/>
      </w:pPr>
      <w:rPr>
        <w:rFonts w:ascii="TimesNewRoman" w:eastAsia="Times New Roman" w:hAnsi="TimesNewRoman" w:cs="TimesNewRoman" w:hint="default"/>
      </w:rPr>
    </w:lvl>
    <w:lvl w:ilvl="1" w:tplc="5E681D54">
      <w:numFmt w:val="bullet"/>
      <w:lvlText w:val="–"/>
      <w:lvlJc w:val="left"/>
      <w:pPr>
        <w:ind w:left="1440" w:hanging="360"/>
      </w:pPr>
      <w:rPr>
        <w:rFonts w:ascii="TimesNewRoman" w:eastAsia="Times New Roman" w:hAnsi="TimesNewRoman" w:cs="TimesNew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160D5C"/>
    <w:multiLevelType w:val="hybridMultilevel"/>
    <w:tmpl w:val="894A7CDC"/>
    <w:lvl w:ilvl="0" w:tplc="AC0A72F0">
      <w:start w:val="1"/>
      <w:numFmt w:val="bullet"/>
      <w:lvlText w:val=""/>
      <w:lvlPicBulletId w:val="1"/>
      <w:lvlJc w:val="center"/>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E57AB7"/>
    <w:multiLevelType w:val="hybridMultilevel"/>
    <w:tmpl w:val="3B7C7748"/>
    <w:lvl w:ilvl="0" w:tplc="5E681D54">
      <w:numFmt w:val="bullet"/>
      <w:lvlText w:val="–"/>
      <w:lvlJc w:val="left"/>
      <w:pPr>
        <w:tabs>
          <w:tab w:val="num" w:pos="360"/>
        </w:tabs>
        <w:ind w:left="360" w:hanging="360"/>
      </w:pPr>
      <w:rPr>
        <w:rFonts w:ascii="TimesNewRoman" w:eastAsia="Times New Roman" w:hAnsi="TimesNewRoman" w:cs="TimesNew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231652"/>
    <w:multiLevelType w:val="hybridMultilevel"/>
    <w:tmpl w:val="70B2E880"/>
    <w:lvl w:ilvl="0" w:tplc="BAE45A04">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854E4B"/>
    <w:multiLevelType w:val="hybridMultilevel"/>
    <w:tmpl w:val="B322AB00"/>
    <w:lvl w:ilvl="0" w:tplc="AC0A72F0">
      <w:start w:val="1"/>
      <w:numFmt w:val="bullet"/>
      <w:lvlText w:val=""/>
      <w:lvlPicBulletId w:val="1"/>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BB46CE"/>
    <w:multiLevelType w:val="hybridMultilevel"/>
    <w:tmpl w:val="0BAC3088"/>
    <w:lvl w:ilvl="0" w:tplc="AC0A72F0">
      <w:start w:val="1"/>
      <w:numFmt w:val="bullet"/>
      <w:lvlText w:val=""/>
      <w:lvlPicBulletId w:val="1"/>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47897"/>
    <w:multiLevelType w:val="hybridMultilevel"/>
    <w:tmpl w:val="336C3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DD5C8B"/>
    <w:multiLevelType w:val="hybridMultilevel"/>
    <w:tmpl w:val="1D5EF44E"/>
    <w:lvl w:ilvl="0" w:tplc="AC0A72F0">
      <w:start w:val="1"/>
      <w:numFmt w:val="bullet"/>
      <w:lvlText w:val=""/>
      <w:lvlPicBulletId w:val="1"/>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792742"/>
    <w:multiLevelType w:val="hybridMultilevel"/>
    <w:tmpl w:val="F5E039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504107CE"/>
    <w:multiLevelType w:val="hybridMultilevel"/>
    <w:tmpl w:val="9958327C"/>
    <w:lvl w:ilvl="0" w:tplc="B150C5E0">
      <w:start w:val="5"/>
      <w:numFmt w:val="bullet"/>
      <w:lvlText w:val="-"/>
      <w:lvlJc w:val="left"/>
      <w:pPr>
        <w:ind w:left="1069" w:hanging="360"/>
      </w:pPr>
      <w:rPr>
        <w:rFonts w:ascii="Calibri" w:eastAsia="Calibri" w:hAnsi="Calibri"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nsid w:val="551C5652"/>
    <w:multiLevelType w:val="hybridMultilevel"/>
    <w:tmpl w:val="8DCEA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AC112A"/>
    <w:multiLevelType w:val="hybridMultilevel"/>
    <w:tmpl w:val="77986742"/>
    <w:lvl w:ilvl="0" w:tplc="AC0A72F0">
      <w:start w:val="1"/>
      <w:numFmt w:val="bullet"/>
      <w:lvlText w:val=""/>
      <w:lvlPicBulletId w:val="1"/>
      <w:lvlJc w:val="center"/>
      <w:pPr>
        <w:ind w:left="720" w:hanging="360"/>
      </w:pPr>
      <w:rPr>
        <w:rFonts w:ascii="Symbol" w:hAnsi="Symbol" w:hint="default"/>
        <w:color w:val="auto"/>
      </w:rPr>
    </w:lvl>
    <w:lvl w:ilvl="1" w:tplc="B4165B1E">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1C7C77"/>
    <w:multiLevelType w:val="hybridMultilevel"/>
    <w:tmpl w:val="6F28EDA2"/>
    <w:lvl w:ilvl="0" w:tplc="AC0A72F0">
      <w:start w:val="1"/>
      <w:numFmt w:val="bullet"/>
      <w:lvlText w:val=""/>
      <w:lvlPicBulletId w:val="1"/>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D4794B"/>
    <w:multiLevelType w:val="hybridMultilevel"/>
    <w:tmpl w:val="19927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0C6491"/>
    <w:multiLevelType w:val="hybridMultilevel"/>
    <w:tmpl w:val="C6202C0A"/>
    <w:lvl w:ilvl="0" w:tplc="AC0A72F0">
      <w:start w:val="1"/>
      <w:numFmt w:val="bullet"/>
      <w:lvlText w:val=""/>
      <w:lvlPicBulletId w:val="1"/>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074355"/>
    <w:multiLevelType w:val="hybridMultilevel"/>
    <w:tmpl w:val="7834E842"/>
    <w:lvl w:ilvl="0" w:tplc="BAE45A04">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6B74497"/>
    <w:multiLevelType w:val="hybridMultilevel"/>
    <w:tmpl w:val="4E8CC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9E93223"/>
    <w:multiLevelType w:val="hybridMultilevel"/>
    <w:tmpl w:val="66B23768"/>
    <w:lvl w:ilvl="0" w:tplc="AC0A72F0">
      <w:start w:val="1"/>
      <w:numFmt w:val="bullet"/>
      <w:lvlText w:val=""/>
      <w:lvlPicBulletId w:val="1"/>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BB3E01"/>
    <w:multiLevelType w:val="hybridMultilevel"/>
    <w:tmpl w:val="001EF44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0"/>
  </w:num>
  <w:num w:numId="3">
    <w:abstractNumId w:val="6"/>
  </w:num>
  <w:num w:numId="4">
    <w:abstractNumId w:val="0"/>
  </w:num>
  <w:num w:numId="5">
    <w:abstractNumId w:val="0"/>
  </w:num>
  <w:num w:numId="6">
    <w:abstractNumId w:val="6"/>
  </w:num>
  <w:num w:numId="7">
    <w:abstractNumId w:val="0"/>
  </w:num>
  <w:num w:numId="8">
    <w:abstractNumId w:val="0"/>
  </w:num>
  <w:num w:numId="9">
    <w:abstractNumId w:val="0"/>
  </w:num>
  <w:num w:numId="10">
    <w:abstractNumId w:val="12"/>
  </w:num>
  <w:num w:numId="11">
    <w:abstractNumId w:val="14"/>
  </w:num>
  <w:num w:numId="12">
    <w:abstractNumId w:val="29"/>
  </w:num>
  <w:num w:numId="13">
    <w:abstractNumId w:val="10"/>
  </w:num>
  <w:num w:numId="14">
    <w:abstractNumId w:val="23"/>
  </w:num>
  <w:num w:numId="15">
    <w:abstractNumId w:val="19"/>
  </w:num>
  <w:num w:numId="16">
    <w:abstractNumId w:val="13"/>
  </w:num>
  <w:num w:numId="17">
    <w:abstractNumId w:val="2"/>
  </w:num>
  <w:num w:numId="18">
    <w:abstractNumId w:val="1"/>
  </w:num>
  <w:num w:numId="19">
    <w:abstractNumId w:val="24"/>
  </w:num>
  <w:num w:numId="20">
    <w:abstractNumId w:val="8"/>
  </w:num>
  <w:num w:numId="21">
    <w:abstractNumId w:val="4"/>
  </w:num>
  <w:num w:numId="22">
    <w:abstractNumId w:val="17"/>
  </w:num>
  <w:num w:numId="23">
    <w:abstractNumId w:val="11"/>
  </w:num>
  <w:num w:numId="24">
    <w:abstractNumId w:val="16"/>
  </w:num>
  <w:num w:numId="25">
    <w:abstractNumId w:val="9"/>
  </w:num>
  <w:num w:numId="26">
    <w:abstractNumId w:val="5"/>
  </w:num>
  <w:num w:numId="27">
    <w:abstractNumId w:val="26"/>
  </w:num>
  <w:num w:numId="28">
    <w:abstractNumId w:val="15"/>
  </w:num>
  <w:num w:numId="29">
    <w:abstractNumId w:val="30"/>
  </w:num>
  <w:num w:numId="30">
    <w:abstractNumId w:val="28"/>
  </w:num>
  <w:num w:numId="31">
    <w:abstractNumId w:val="27"/>
  </w:num>
  <w:num w:numId="32">
    <w:abstractNumId w:val="20"/>
  </w:num>
  <w:num w:numId="33">
    <w:abstractNumId w:val="7"/>
  </w:num>
  <w:num w:numId="34">
    <w:abstractNumId w:val="25"/>
  </w:num>
  <w:num w:numId="35">
    <w:abstractNumId w:val="22"/>
  </w:num>
  <w:num w:numId="36">
    <w:abstractNumId w:val="3"/>
  </w:num>
  <w:num w:numId="37">
    <w:abstractNumId w:val="21"/>
  </w:num>
  <w:num w:numId="38">
    <w:abstractNumId w:val="18"/>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drawingGridHorizontalSpacing w:val="100"/>
  <w:displayHorizontalDrawingGridEvery w:val="0"/>
  <w:characterSpacingControl w:val="doNotCompress"/>
  <w:hdrShapeDefaults>
    <o:shapedefaults v:ext="edit" spidmax="3074" style="mso-position-horizontal:center;mso-position-horizontal-relative:page;mso-position-vertical:top;mso-position-vertical-relative:top-margin-area;mso-width-percent:1050;mso-height-percent:900;mso-height-relative:top-margin-area" o:allowincell="f" fillcolor="#0055a5" strokecolor="none [2408]">
      <v:fill color="#0055a5"/>
      <v:stroke color="none [2408]"/>
      <o:colormru v:ext="edit" colors="#0055a5,#b8a200"/>
      <o:colormenu v:ext="edit" fillcolor="#0055a5" strokecolor="none"/>
    </o:shapedefaults>
  </w:hdrShapeDefaults>
  <w:footnotePr>
    <w:footnote w:id="-1"/>
    <w:footnote w:id="0"/>
  </w:footnotePr>
  <w:endnotePr>
    <w:endnote w:id="-1"/>
    <w:endnote w:id="0"/>
  </w:endnotePr>
  <w:compat/>
  <w:rsids>
    <w:rsidRoot w:val="008911DA"/>
    <w:rsid w:val="00031C02"/>
    <w:rsid w:val="000567BA"/>
    <w:rsid w:val="000A6F75"/>
    <w:rsid w:val="000C588B"/>
    <w:rsid w:val="000C7476"/>
    <w:rsid w:val="000D266A"/>
    <w:rsid w:val="000F1505"/>
    <w:rsid w:val="00100898"/>
    <w:rsid w:val="0010451A"/>
    <w:rsid w:val="00151B0A"/>
    <w:rsid w:val="00181474"/>
    <w:rsid w:val="0019444C"/>
    <w:rsid w:val="00195D8E"/>
    <w:rsid w:val="001A29E1"/>
    <w:rsid w:val="001A7A52"/>
    <w:rsid w:val="001B2A56"/>
    <w:rsid w:val="002308E4"/>
    <w:rsid w:val="002324F6"/>
    <w:rsid w:val="002723B7"/>
    <w:rsid w:val="00294673"/>
    <w:rsid w:val="002A3E40"/>
    <w:rsid w:val="002C15A8"/>
    <w:rsid w:val="002C5AE7"/>
    <w:rsid w:val="002E3601"/>
    <w:rsid w:val="0030455B"/>
    <w:rsid w:val="003065CD"/>
    <w:rsid w:val="00330AC6"/>
    <w:rsid w:val="00344158"/>
    <w:rsid w:val="003525CA"/>
    <w:rsid w:val="0035345A"/>
    <w:rsid w:val="00387237"/>
    <w:rsid w:val="003969F3"/>
    <w:rsid w:val="003B5026"/>
    <w:rsid w:val="003C4598"/>
    <w:rsid w:val="003C5B69"/>
    <w:rsid w:val="003C6145"/>
    <w:rsid w:val="003C76D9"/>
    <w:rsid w:val="003D2B79"/>
    <w:rsid w:val="004066D3"/>
    <w:rsid w:val="00422A6E"/>
    <w:rsid w:val="004410D7"/>
    <w:rsid w:val="0044462A"/>
    <w:rsid w:val="004636F4"/>
    <w:rsid w:val="00487B91"/>
    <w:rsid w:val="004A01B7"/>
    <w:rsid w:val="004A18B8"/>
    <w:rsid w:val="004B1907"/>
    <w:rsid w:val="004B1CF6"/>
    <w:rsid w:val="00515D05"/>
    <w:rsid w:val="0052316F"/>
    <w:rsid w:val="00533538"/>
    <w:rsid w:val="005847D9"/>
    <w:rsid w:val="0059757E"/>
    <w:rsid w:val="005E10C8"/>
    <w:rsid w:val="005F59A3"/>
    <w:rsid w:val="006448DE"/>
    <w:rsid w:val="00652315"/>
    <w:rsid w:val="00656B3B"/>
    <w:rsid w:val="006835C8"/>
    <w:rsid w:val="00686C41"/>
    <w:rsid w:val="006954D7"/>
    <w:rsid w:val="006A1210"/>
    <w:rsid w:val="006B274D"/>
    <w:rsid w:val="006B5F16"/>
    <w:rsid w:val="006C4C2B"/>
    <w:rsid w:val="006E2055"/>
    <w:rsid w:val="006E617D"/>
    <w:rsid w:val="006E7E77"/>
    <w:rsid w:val="00704AC3"/>
    <w:rsid w:val="00710013"/>
    <w:rsid w:val="00731653"/>
    <w:rsid w:val="00753B39"/>
    <w:rsid w:val="007560CD"/>
    <w:rsid w:val="00784E17"/>
    <w:rsid w:val="007923A9"/>
    <w:rsid w:val="00792959"/>
    <w:rsid w:val="00821D57"/>
    <w:rsid w:val="0083341E"/>
    <w:rsid w:val="00837FC7"/>
    <w:rsid w:val="00842396"/>
    <w:rsid w:val="00890B2D"/>
    <w:rsid w:val="008911DA"/>
    <w:rsid w:val="00954C95"/>
    <w:rsid w:val="00956377"/>
    <w:rsid w:val="00964CD2"/>
    <w:rsid w:val="009B37E4"/>
    <w:rsid w:val="009D1FBC"/>
    <w:rsid w:val="009E7961"/>
    <w:rsid w:val="009F1A04"/>
    <w:rsid w:val="00A26388"/>
    <w:rsid w:val="00A31DCA"/>
    <w:rsid w:val="00A403D6"/>
    <w:rsid w:val="00A6737C"/>
    <w:rsid w:val="00AA24E6"/>
    <w:rsid w:val="00AB27F4"/>
    <w:rsid w:val="00AD28DA"/>
    <w:rsid w:val="00AD7DBA"/>
    <w:rsid w:val="00AE31E7"/>
    <w:rsid w:val="00B017AB"/>
    <w:rsid w:val="00B25BBF"/>
    <w:rsid w:val="00B35C79"/>
    <w:rsid w:val="00B373F6"/>
    <w:rsid w:val="00B45E79"/>
    <w:rsid w:val="00B46B9A"/>
    <w:rsid w:val="00B529F6"/>
    <w:rsid w:val="00B82132"/>
    <w:rsid w:val="00BB7064"/>
    <w:rsid w:val="00BE57E7"/>
    <w:rsid w:val="00BE71E9"/>
    <w:rsid w:val="00C07C4B"/>
    <w:rsid w:val="00C2045F"/>
    <w:rsid w:val="00C26A43"/>
    <w:rsid w:val="00C560E6"/>
    <w:rsid w:val="00C73C57"/>
    <w:rsid w:val="00CE61E4"/>
    <w:rsid w:val="00CF63FD"/>
    <w:rsid w:val="00D305B5"/>
    <w:rsid w:val="00D80A94"/>
    <w:rsid w:val="00D8792B"/>
    <w:rsid w:val="00D9206E"/>
    <w:rsid w:val="00DA0B04"/>
    <w:rsid w:val="00DA205D"/>
    <w:rsid w:val="00DB77DF"/>
    <w:rsid w:val="00DC17A5"/>
    <w:rsid w:val="00DD264E"/>
    <w:rsid w:val="00DE0AFD"/>
    <w:rsid w:val="00E03548"/>
    <w:rsid w:val="00E25B6B"/>
    <w:rsid w:val="00E4797B"/>
    <w:rsid w:val="00E84B91"/>
    <w:rsid w:val="00EB4421"/>
    <w:rsid w:val="00EC3615"/>
    <w:rsid w:val="00F2286D"/>
    <w:rsid w:val="00F24B54"/>
    <w:rsid w:val="00F42189"/>
    <w:rsid w:val="00F86C13"/>
    <w:rsid w:val="00F875A4"/>
    <w:rsid w:val="00FF1B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style="mso-position-horizontal:center;mso-position-horizontal-relative:page;mso-position-vertical:top;mso-position-vertical-relative:top-margin-area;mso-width-percent:1050;mso-height-percent:900;mso-height-relative:top-margin-area" o:allowincell="f" fillcolor="#0055a5" strokecolor="none [2408]">
      <v:fill color="#0055a5"/>
      <v:stroke color="none [2408]"/>
      <o:colormru v:ext="edit" colors="#0055a5,#b8a200"/>
      <o:colormenu v:ext="edit" fillcolor="#0055a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3A9"/>
    <w:pPr>
      <w:suppressAutoHyphens/>
      <w:spacing w:before="120" w:after="120"/>
    </w:pPr>
    <w:rPr>
      <w:rFonts w:ascii="Calibri" w:hAnsi="Calibri"/>
      <w:color w:val="595959"/>
      <w:szCs w:val="24"/>
      <w:lang w:val="en-US" w:eastAsia="ar-SA"/>
    </w:rPr>
  </w:style>
  <w:style w:type="paragraph" w:styleId="Nagwek1">
    <w:name w:val="heading 1"/>
    <w:aliases w:val="HEADING 1"/>
    <w:next w:val="Normalny"/>
    <w:link w:val="Nagwek1Znak"/>
    <w:qFormat/>
    <w:rsid w:val="00031C02"/>
    <w:pPr>
      <w:keepNext/>
      <w:numPr>
        <w:numId w:val="9"/>
      </w:numPr>
      <w:spacing w:before="360" w:after="180"/>
      <w:jc w:val="center"/>
      <w:outlineLvl w:val="0"/>
    </w:pPr>
    <w:rPr>
      <w:rFonts w:ascii="Calibri" w:hAnsi="Calibri"/>
      <w:bCs/>
      <w:color w:val="0055A5"/>
      <w:kern w:val="1"/>
      <w:sz w:val="56"/>
      <w:szCs w:val="32"/>
      <w:lang w:eastAsia="ar-SA"/>
    </w:rPr>
  </w:style>
  <w:style w:type="paragraph" w:styleId="Nagwek2">
    <w:name w:val="heading 2"/>
    <w:next w:val="Normalny"/>
    <w:link w:val="Nagwek2Znak"/>
    <w:uiPriority w:val="9"/>
    <w:unhideWhenUsed/>
    <w:qFormat/>
    <w:rsid w:val="00195D8E"/>
    <w:pPr>
      <w:tabs>
        <w:tab w:val="left" w:pos="0"/>
      </w:tabs>
      <w:spacing w:before="720"/>
      <w:outlineLvl w:val="1"/>
    </w:pPr>
    <w:rPr>
      <w:rFonts w:ascii="Calibri" w:hAnsi="Calibri"/>
      <w:iCs/>
      <w:color w:val="0055A5"/>
      <w:kern w:val="1"/>
      <w:sz w:val="28"/>
      <w:szCs w:val="28"/>
      <w:lang w:eastAsia="ar-SA"/>
    </w:rPr>
  </w:style>
  <w:style w:type="paragraph" w:styleId="Nagwek3">
    <w:name w:val="heading 3"/>
    <w:basedOn w:val="Normalny"/>
    <w:next w:val="Normalny"/>
    <w:link w:val="Nagwek3Znak"/>
    <w:uiPriority w:val="9"/>
    <w:unhideWhenUsed/>
    <w:qFormat/>
    <w:rsid w:val="00195D8E"/>
    <w:pPr>
      <w:keepNext/>
      <w:spacing w:before="240"/>
      <w:outlineLvl w:val="2"/>
    </w:pPr>
    <w:rPr>
      <w:b/>
      <w:bCs/>
      <w:szCs w:val="26"/>
    </w:rPr>
  </w:style>
  <w:style w:type="paragraph" w:styleId="Nagwek4">
    <w:name w:val="heading 4"/>
    <w:basedOn w:val="Normalny"/>
    <w:next w:val="Normalny"/>
    <w:link w:val="Nagwek4Znak"/>
    <w:uiPriority w:val="9"/>
    <w:unhideWhenUsed/>
    <w:qFormat/>
    <w:rsid w:val="00195D8E"/>
    <w:pPr>
      <w:keepNext/>
      <w:spacing w:before="480" w:after="0"/>
      <w:outlineLvl w:val="3"/>
    </w:pPr>
    <w:rPr>
      <w:bCs/>
      <w:color w:val="0055A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
    <w:basedOn w:val="Domylnaczcionkaakapitu"/>
    <w:link w:val="Nagwek1"/>
    <w:rsid w:val="00031C02"/>
    <w:rPr>
      <w:rFonts w:ascii="Calibri" w:hAnsi="Calibri"/>
      <w:bCs/>
      <w:color w:val="0055A5"/>
      <w:kern w:val="1"/>
      <w:sz w:val="56"/>
      <w:szCs w:val="32"/>
      <w:lang w:eastAsia="ar-SA"/>
    </w:rPr>
  </w:style>
  <w:style w:type="character" w:customStyle="1" w:styleId="Nagwek2Znak">
    <w:name w:val="Nagłówek 2 Znak"/>
    <w:basedOn w:val="Domylnaczcionkaakapitu"/>
    <w:link w:val="Nagwek2"/>
    <w:uiPriority w:val="9"/>
    <w:rsid w:val="00195D8E"/>
    <w:rPr>
      <w:rFonts w:ascii="Calibri" w:hAnsi="Calibri"/>
      <w:iCs/>
      <w:color w:val="0055A5"/>
      <w:kern w:val="1"/>
      <w:sz w:val="28"/>
      <w:szCs w:val="28"/>
      <w:lang w:val="en-GB" w:eastAsia="ar-SA" w:bidi="ar-SA"/>
    </w:rPr>
  </w:style>
  <w:style w:type="paragraph" w:styleId="Bezodstpw">
    <w:name w:val="No Spacing"/>
    <w:aliases w:val="Bullets"/>
    <w:link w:val="BezodstpwZnak"/>
    <w:autoRedefine/>
    <w:uiPriority w:val="1"/>
    <w:qFormat/>
    <w:rsid w:val="00A26388"/>
    <w:pPr>
      <w:numPr>
        <w:numId w:val="6"/>
      </w:numPr>
      <w:tabs>
        <w:tab w:val="left" w:pos="0"/>
      </w:tabs>
      <w:suppressAutoHyphens/>
      <w:spacing w:before="120" w:after="120"/>
    </w:pPr>
    <w:rPr>
      <w:rFonts w:ascii="Calibri" w:hAnsi="Calibri"/>
      <w:color w:val="595959"/>
      <w:szCs w:val="24"/>
      <w:lang w:val="en-US" w:eastAsia="ar-SA"/>
    </w:rPr>
  </w:style>
  <w:style w:type="paragraph" w:styleId="Akapitzlist">
    <w:name w:val="List Paragraph"/>
    <w:basedOn w:val="Normalny"/>
    <w:uiPriority w:val="34"/>
    <w:qFormat/>
    <w:rsid w:val="00710013"/>
    <w:pPr>
      <w:suppressAutoHyphens w:val="0"/>
      <w:ind w:left="720"/>
      <w:contextualSpacing/>
    </w:pPr>
    <w:rPr>
      <w:lang w:val="pl-PL" w:eastAsia="pl-PL"/>
    </w:rPr>
  </w:style>
  <w:style w:type="paragraph" w:styleId="Nagwekspisutreci">
    <w:name w:val="TOC Heading"/>
    <w:basedOn w:val="Nagwek1"/>
    <w:next w:val="Normalny"/>
    <w:uiPriority w:val="39"/>
    <w:semiHidden/>
    <w:unhideWhenUsed/>
    <w:qFormat/>
    <w:rsid w:val="00710013"/>
    <w:pPr>
      <w:keepLines/>
      <w:numPr>
        <w:numId w:val="0"/>
      </w:numPr>
      <w:spacing w:before="480" w:after="0" w:line="276" w:lineRule="auto"/>
      <w:outlineLvl w:val="9"/>
    </w:pPr>
    <w:rPr>
      <w:rFonts w:ascii="Cambria" w:hAnsi="Cambria"/>
      <w:color w:val="365F91"/>
      <w:kern w:val="0"/>
      <w:sz w:val="28"/>
      <w:szCs w:val="28"/>
      <w:lang w:val="pl-PL" w:eastAsia="en-US"/>
    </w:rPr>
  </w:style>
  <w:style w:type="paragraph" w:styleId="Nagwek">
    <w:name w:val="header"/>
    <w:basedOn w:val="Normalny"/>
    <w:link w:val="NagwekZnak"/>
    <w:uiPriority w:val="99"/>
    <w:unhideWhenUsed/>
    <w:rsid w:val="008911DA"/>
    <w:pPr>
      <w:tabs>
        <w:tab w:val="center" w:pos="4513"/>
        <w:tab w:val="right" w:pos="9026"/>
      </w:tabs>
      <w:spacing w:before="0" w:after="0"/>
    </w:pPr>
  </w:style>
  <w:style w:type="character" w:customStyle="1" w:styleId="NagwekZnak">
    <w:name w:val="Nagłówek Znak"/>
    <w:basedOn w:val="Domylnaczcionkaakapitu"/>
    <w:link w:val="Nagwek"/>
    <w:uiPriority w:val="99"/>
    <w:rsid w:val="008911DA"/>
    <w:rPr>
      <w:rFonts w:ascii="Arial" w:hAnsi="Arial"/>
      <w:color w:val="595959"/>
      <w:szCs w:val="24"/>
      <w:lang w:val="en-US" w:eastAsia="ar-SA"/>
    </w:rPr>
  </w:style>
  <w:style w:type="paragraph" w:styleId="Stopka">
    <w:name w:val="footer"/>
    <w:basedOn w:val="Normalny"/>
    <w:link w:val="StopkaZnak"/>
    <w:uiPriority w:val="99"/>
    <w:unhideWhenUsed/>
    <w:rsid w:val="008911DA"/>
    <w:pPr>
      <w:tabs>
        <w:tab w:val="center" w:pos="4513"/>
        <w:tab w:val="right" w:pos="9026"/>
      </w:tabs>
      <w:spacing w:before="0" w:after="0"/>
    </w:pPr>
  </w:style>
  <w:style w:type="character" w:customStyle="1" w:styleId="StopkaZnak">
    <w:name w:val="Stopka Znak"/>
    <w:basedOn w:val="Domylnaczcionkaakapitu"/>
    <w:link w:val="Stopka"/>
    <w:uiPriority w:val="99"/>
    <w:rsid w:val="008911DA"/>
    <w:rPr>
      <w:rFonts w:ascii="Arial" w:hAnsi="Arial"/>
      <w:color w:val="595959"/>
      <w:szCs w:val="24"/>
      <w:lang w:val="en-US" w:eastAsia="ar-SA"/>
    </w:rPr>
  </w:style>
  <w:style w:type="paragraph" w:styleId="Tekstdymka">
    <w:name w:val="Balloon Text"/>
    <w:basedOn w:val="Normalny"/>
    <w:link w:val="TekstdymkaZnak"/>
    <w:uiPriority w:val="99"/>
    <w:semiHidden/>
    <w:unhideWhenUsed/>
    <w:rsid w:val="008911DA"/>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911DA"/>
    <w:rPr>
      <w:rFonts w:ascii="Tahoma" w:hAnsi="Tahoma" w:cs="Tahoma"/>
      <w:color w:val="595959"/>
      <w:sz w:val="16"/>
      <w:szCs w:val="16"/>
      <w:lang w:val="en-US" w:eastAsia="ar-SA"/>
    </w:rPr>
  </w:style>
  <w:style w:type="character" w:customStyle="1" w:styleId="BezodstpwZnak">
    <w:name w:val="Bez odstępów Znak"/>
    <w:aliases w:val="Bullets Znak"/>
    <w:basedOn w:val="Domylnaczcionkaakapitu"/>
    <w:link w:val="Bezodstpw"/>
    <w:uiPriority w:val="1"/>
    <w:rsid w:val="00A26388"/>
    <w:rPr>
      <w:rFonts w:ascii="Calibri" w:hAnsi="Calibri"/>
      <w:color w:val="595959"/>
      <w:szCs w:val="24"/>
      <w:lang w:val="en-US" w:eastAsia="ar-SA"/>
    </w:rPr>
  </w:style>
  <w:style w:type="character" w:styleId="Hipercze">
    <w:name w:val="Hyperlink"/>
    <w:uiPriority w:val="99"/>
    <w:rsid w:val="007923A9"/>
    <w:rPr>
      <w:color w:val="0000FF"/>
      <w:u w:val="single"/>
    </w:rPr>
  </w:style>
  <w:style w:type="paragraph" w:styleId="Spistreci1">
    <w:name w:val="toc 1"/>
    <w:basedOn w:val="Normalny"/>
    <w:next w:val="Normalny"/>
    <w:autoRedefine/>
    <w:uiPriority w:val="39"/>
    <w:unhideWhenUsed/>
    <w:rsid w:val="007923A9"/>
    <w:pPr>
      <w:tabs>
        <w:tab w:val="left" w:pos="440"/>
        <w:tab w:val="right" w:leader="dot" w:pos="9017"/>
      </w:tabs>
      <w:suppressAutoHyphens w:val="0"/>
      <w:spacing w:before="0" w:after="200" w:line="276" w:lineRule="auto"/>
    </w:pPr>
    <w:rPr>
      <w:rFonts w:eastAsia="Calibri"/>
      <w:color w:val="auto"/>
      <w:sz w:val="22"/>
      <w:szCs w:val="22"/>
      <w:lang w:eastAsia="en-US"/>
    </w:rPr>
  </w:style>
  <w:style w:type="character" w:customStyle="1" w:styleId="Nagwek3Znak">
    <w:name w:val="Nagłówek 3 Znak"/>
    <w:basedOn w:val="Domylnaczcionkaakapitu"/>
    <w:link w:val="Nagwek3"/>
    <w:uiPriority w:val="9"/>
    <w:rsid w:val="00195D8E"/>
    <w:rPr>
      <w:rFonts w:ascii="Calibri" w:hAnsi="Calibri"/>
      <w:b/>
      <w:bCs/>
      <w:color w:val="595959"/>
      <w:szCs w:val="26"/>
      <w:lang w:val="en-US" w:eastAsia="ar-SA"/>
    </w:rPr>
  </w:style>
  <w:style w:type="character" w:customStyle="1" w:styleId="Nagwek4Znak">
    <w:name w:val="Nagłówek 4 Znak"/>
    <w:basedOn w:val="Domylnaczcionkaakapitu"/>
    <w:link w:val="Nagwek4"/>
    <w:uiPriority w:val="9"/>
    <w:rsid w:val="00195D8E"/>
    <w:rPr>
      <w:rFonts w:ascii="Calibri" w:hAnsi="Calibri"/>
      <w:bCs/>
      <w:color w:val="0055A5"/>
      <w:sz w:val="28"/>
      <w:szCs w:val="28"/>
      <w:lang w:val="en-US" w:eastAsia="ar-SA"/>
    </w:rPr>
  </w:style>
  <w:style w:type="paragraph" w:styleId="Spistreci2">
    <w:name w:val="toc 2"/>
    <w:basedOn w:val="Normalny"/>
    <w:next w:val="Normalny"/>
    <w:autoRedefine/>
    <w:uiPriority w:val="39"/>
    <w:unhideWhenUsed/>
    <w:rsid w:val="000F1505"/>
    <w:pPr>
      <w:ind w:left="200"/>
    </w:pPr>
  </w:style>
  <w:style w:type="paragraph" w:styleId="Spistreci3">
    <w:name w:val="toc 3"/>
    <w:basedOn w:val="Normalny"/>
    <w:next w:val="Normalny"/>
    <w:autoRedefine/>
    <w:uiPriority w:val="39"/>
    <w:unhideWhenUsed/>
    <w:rsid w:val="000F1505"/>
    <w:pPr>
      <w:ind w:left="400"/>
    </w:pPr>
  </w:style>
</w:styles>
</file>

<file path=word/webSettings.xml><?xml version="1.0" encoding="utf-8"?>
<w:webSettings xmlns:r="http://schemas.openxmlformats.org/officeDocument/2006/relationships" xmlns:w="http://schemas.openxmlformats.org/wordprocessingml/2006/main">
  <w:divs>
    <w:div w:id="9763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gif"/></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hyperlink" Target="http://www.google.fi/url?sa=i&amp;source=images&amp;cd=&amp;cad=rja&amp;docid=_eiqyzcBfLgdmM&amp;tbnid=-fugeC960B2n5M:&amp;ved=0CAgQjRwwAA&amp;url=http://www.lg-action.eu/?id=7722&amp;ei=nKE2UtP8AYmF4gSP14DACA&amp;psig=AFQjCNGayr1zq4JegW6oYiERjEkCZNTMww&amp;ust=1379398428072742" TargetMode="External"/><Relationship Id="rId1" Type="http://schemas.openxmlformats.org/officeDocument/2006/relationships/image" Target="media/image7.jpeg"/><Relationship Id="rId5" Type="http://schemas.openxmlformats.org/officeDocument/2006/relationships/image" Target="media/image10.jpeg"/><Relationship Id="rId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2002B-2A30-4F60-B62F-65877ED9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exemplary activities</vt:lpstr>
    </vt:vector>
  </TitlesOfParts>
  <Company>Te South Baltic Programme, JTS</Company>
  <LinksUpToDate>false</LinksUpToDate>
  <CharactersWithSpaces>5</CharactersWithSpaces>
  <SharedDoc>false</SharedDoc>
  <HLinks>
    <vt:vector size="36" baseType="variant">
      <vt:variant>
        <vt:i4>1835064</vt:i4>
      </vt:variant>
      <vt:variant>
        <vt:i4>32</vt:i4>
      </vt:variant>
      <vt:variant>
        <vt:i4>0</vt:i4>
      </vt:variant>
      <vt:variant>
        <vt:i4>5</vt:i4>
      </vt:variant>
      <vt:variant>
        <vt:lpwstr/>
      </vt:variant>
      <vt:variant>
        <vt:lpwstr>_Toc360698236</vt:lpwstr>
      </vt:variant>
      <vt:variant>
        <vt:i4>1835064</vt:i4>
      </vt:variant>
      <vt:variant>
        <vt:i4>26</vt:i4>
      </vt:variant>
      <vt:variant>
        <vt:i4>0</vt:i4>
      </vt:variant>
      <vt:variant>
        <vt:i4>5</vt:i4>
      </vt:variant>
      <vt:variant>
        <vt:lpwstr/>
      </vt:variant>
      <vt:variant>
        <vt:lpwstr>_Toc360698235</vt:lpwstr>
      </vt:variant>
      <vt:variant>
        <vt:i4>1835064</vt:i4>
      </vt:variant>
      <vt:variant>
        <vt:i4>20</vt:i4>
      </vt:variant>
      <vt:variant>
        <vt:i4>0</vt:i4>
      </vt:variant>
      <vt:variant>
        <vt:i4>5</vt:i4>
      </vt:variant>
      <vt:variant>
        <vt:lpwstr/>
      </vt:variant>
      <vt:variant>
        <vt:lpwstr>_Toc360698234</vt:lpwstr>
      </vt:variant>
      <vt:variant>
        <vt:i4>1835064</vt:i4>
      </vt:variant>
      <vt:variant>
        <vt:i4>14</vt:i4>
      </vt:variant>
      <vt:variant>
        <vt:i4>0</vt:i4>
      </vt:variant>
      <vt:variant>
        <vt:i4>5</vt:i4>
      </vt:variant>
      <vt:variant>
        <vt:lpwstr/>
      </vt:variant>
      <vt:variant>
        <vt:lpwstr>_Toc360698233</vt:lpwstr>
      </vt:variant>
      <vt:variant>
        <vt:i4>1835064</vt:i4>
      </vt:variant>
      <vt:variant>
        <vt:i4>8</vt:i4>
      </vt:variant>
      <vt:variant>
        <vt:i4>0</vt:i4>
      </vt:variant>
      <vt:variant>
        <vt:i4>5</vt:i4>
      </vt:variant>
      <vt:variant>
        <vt:lpwstr/>
      </vt:variant>
      <vt:variant>
        <vt:lpwstr>_Toc360698232</vt:lpwstr>
      </vt:variant>
      <vt:variant>
        <vt:i4>1835064</vt:i4>
      </vt:variant>
      <vt:variant>
        <vt:i4>2</vt:i4>
      </vt:variant>
      <vt:variant>
        <vt:i4>0</vt:i4>
      </vt:variant>
      <vt:variant>
        <vt:i4>5</vt:i4>
      </vt:variant>
      <vt:variant>
        <vt:lpwstr/>
      </vt:variant>
      <vt:variant>
        <vt:lpwstr>_Toc360698231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exemplary activities</dc:title>
  <dc:subject>within selected Thematic Objectives</dc:subject>
  <dc:creator>Vassilen Iozov</dc:creator>
  <cp:lastModifiedBy>SOŚNICKA.A</cp:lastModifiedBy>
  <cp:revision>2</cp:revision>
  <cp:lastPrinted>2013-09-16T06:40:00Z</cp:lastPrinted>
  <dcterms:created xsi:type="dcterms:W3CDTF">2013-10-23T11:47:00Z</dcterms:created>
  <dcterms:modified xsi:type="dcterms:W3CDTF">2013-10-23T11:47:00Z</dcterms:modified>
</cp:coreProperties>
</file>