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5554F2" w:rsidRDefault="002B0627" w:rsidP="00C6109E">
      <w:pPr>
        <w:jc w:val="center"/>
        <w:rPr>
          <w:rFonts w:ascii="Arial" w:hAnsi="Arial"/>
          <w:b/>
          <w:color w:val="FF0000"/>
          <w:lang w:val="en-GB"/>
        </w:rPr>
      </w:pPr>
    </w:p>
    <w:p w:rsidR="002B0627" w:rsidRPr="00AF6698" w:rsidRDefault="002B0627" w:rsidP="00C6109E">
      <w:pPr>
        <w:jc w:val="center"/>
        <w:rPr>
          <w:rFonts w:ascii="Arial" w:hAnsi="Arial"/>
          <w:b/>
          <w:lang w:val="en-GB"/>
        </w:rPr>
      </w:pPr>
    </w:p>
    <w:p w:rsidR="002B0627" w:rsidRPr="005D6287" w:rsidRDefault="002B0627" w:rsidP="00C6109E">
      <w:pPr>
        <w:jc w:val="center"/>
        <w:rPr>
          <w:rFonts w:ascii="Arial" w:hAnsi="Arial"/>
          <w:b/>
          <w:lang w:val="en-GB"/>
        </w:rPr>
      </w:pPr>
    </w:p>
    <w:p w:rsidR="002B0627" w:rsidRPr="005D6287" w:rsidRDefault="004C5247" w:rsidP="00C6109E">
      <w:pPr>
        <w:jc w:val="center"/>
        <w:rPr>
          <w:rFonts w:ascii="Arial" w:hAnsi="Arial"/>
          <w:b/>
          <w:sz w:val="32"/>
          <w:lang w:val="en-GB"/>
        </w:rPr>
      </w:pPr>
      <w:r w:rsidRPr="005D6287">
        <w:rPr>
          <w:rFonts w:ascii="Arial" w:hAnsi="Arial"/>
          <w:b/>
          <w:sz w:val="32"/>
          <w:lang w:val="en-GB"/>
        </w:rPr>
        <w:t>Expert o</w:t>
      </w:r>
      <w:r w:rsidR="002B0627" w:rsidRPr="005D6287">
        <w:rPr>
          <w:rFonts w:ascii="Arial" w:hAnsi="Arial"/>
          <w:b/>
          <w:sz w:val="32"/>
          <w:lang w:val="en-GB"/>
        </w:rPr>
        <w:t>pinion</w:t>
      </w:r>
    </w:p>
    <w:p w:rsidR="002B0627" w:rsidRPr="005D6287" w:rsidRDefault="002B0627" w:rsidP="00C6109E">
      <w:pPr>
        <w:jc w:val="center"/>
        <w:rPr>
          <w:rFonts w:ascii="Arial" w:hAnsi="Arial"/>
          <w:b/>
          <w:lang w:val="en-GB"/>
        </w:rPr>
      </w:pPr>
    </w:p>
    <w:p w:rsidR="002B0627" w:rsidRPr="005D6287" w:rsidRDefault="00063B36" w:rsidP="00C6109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Concerning the</w:t>
      </w:r>
    </w:p>
    <w:p w:rsidR="002B0627" w:rsidRPr="005D6287" w:rsidRDefault="002B0627" w:rsidP="00C6109E">
      <w:pPr>
        <w:jc w:val="center"/>
        <w:rPr>
          <w:rFonts w:ascii="Arial" w:hAnsi="Arial"/>
          <w:lang w:val="en-GB"/>
        </w:rPr>
      </w:pPr>
    </w:p>
    <w:p w:rsidR="002B0627" w:rsidRPr="005D6287" w:rsidRDefault="002B0627" w:rsidP="00C6109E">
      <w:pPr>
        <w:jc w:val="center"/>
        <w:rPr>
          <w:rFonts w:ascii="Arial" w:hAnsi="Arial" w:cs="Arial"/>
          <w:szCs w:val="26"/>
          <w:lang w:val="en-GB"/>
        </w:rPr>
      </w:pPr>
      <w:r w:rsidRPr="005D6287">
        <w:rPr>
          <w:rFonts w:ascii="Arial" w:hAnsi="Arial" w:cs="Arial"/>
          <w:szCs w:val="26"/>
          <w:lang w:val="en-GB"/>
        </w:rPr>
        <w:t>Final Report of the UBC Task Force on Development of the Organization - Conclusions and Proposals to the UBC Executive Board</w:t>
      </w:r>
      <w:r w:rsidR="0091050A" w:rsidRPr="005D6287">
        <w:rPr>
          <w:rFonts w:ascii="Arial" w:hAnsi="Arial" w:cs="Arial"/>
          <w:szCs w:val="26"/>
          <w:lang w:val="en-GB"/>
        </w:rPr>
        <w:t xml:space="preserve"> (25.2.2013)</w:t>
      </w:r>
    </w:p>
    <w:p w:rsidR="002B0627" w:rsidRPr="00AF6698" w:rsidRDefault="002B062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5D6287" w:rsidRDefault="005D628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5D6287" w:rsidRDefault="005D628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5D6287" w:rsidRDefault="005D628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5D6287" w:rsidRDefault="005D628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5D6287" w:rsidRDefault="005D628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5D6287" w:rsidRDefault="005D6287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063B36" w:rsidRDefault="004C5247" w:rsidP="00C6109E">
      <w:pPr>
        <w:jc w:val="center"/>
        <w:rPr>
          <w:rFonts w:ascii="Arial" w:hAnsi="Arial" w:cs="Arial"/>
          <w:i/>
          <w:sz w:val="20"/>
          <w:szCs w:val="26"/>
          <w:lang w:val="en-GB"/>
        </w:rPr>
      </w:pPr>
      <w:r w:rsidRPr="005D6287">
        <w:rPr>
          <w:rFonts w:ascii="Arial" w:hAnsi="Arial" w:cs="Arial"/>
          <w:i/>
          <w:sz w:val="20"/>
          <w:szCs w:val="26"/>
          <w:lang w:val="en-GB"/>
        </w:rPr>
        <w:t xml:space="preserve">Dipl.-Pol. </w:t>
      </w:r>
      <w:r w:rsidR="002B0627" w:rsidRPr="005D6287">
        <w:rPr>
          <w:rFonts w:ascii="Arial" w:hAnsi="Arial" w:cs="Arial"/>
          <w:i/>
          <w:sz w:val="20"/>
          <w:szCs w:val="26"/>
          <w:lang w:val="en-GB"/>
        </w:rPr>
        <w:t>Tim-</w:t>
      </w:r>
      <w:proofErr w:type="spellStart"/>
      <w:r w:rsidR="002B0627" w:rsidRPr="005D6287">
        <w:rPr>
          <w:rFonts w:ascii="Arial" w:hAnsi="Arial" w:cs="Arial"/>
          <w:i/>
          <w:sz w:val="20"/>
          <w:szCs w:val="26"/>
          <w:lang w:val="en-GB"/>
        </w:rPr>
        <w:t>Åke</w:t>
      </w:r>
      <w:proofErr w:type="spellEnd"/>
      <w:r w:rsidR="002B0627" w:rsidRPr="005D6287">
        <w:rPr>
          <w:rFonts w:ascii="Arial" w:hAnsi="Arial" w:cs="Arial"/>
          <w:i/>
          <w:sz w:val="20"/>
          <w:szCs w:val="26"/>
          <w:lang w:val="en-GB"/>
        </w:rPr>
        <w:t xml:space="preserve"> </w:t>
      </w:r>
      <w:proofErr w:type="spellStart"/>
      <w:r w:rsidR="002B0627" w:rsidRPr="005D6287">
        <w:rPr>
          <w:rFonts w:ascii="Arial" w:hAnsi="Arial" w:cs="Arial"/>
          <w:i/>
          <w:sz w:val="20"/>
          <w:szCs w:val="26"/>
          <w:lang w:val="en-GB"/>
        </w:rPr>
        <w:t>Pentz</w:t>
      </w:r>
      <w:proofErr w:type="spellEnd"/>
    </w:p>
    <w:p w:rsidR="002B0627" w:rsidRPr="005D6287" w:rsidRDefault="00063B36" w:rsidP="00C6109E">
      <w:pPr>
        <w:jc w:val="center"/>
        <w:rPr>
          <w:rFonts w:ascii="Arial" w:hAnsi="Arial" w:cs="Arial"/>
          <w:i/>
          <w:sz w:val="20"/>
          <w:szCs w:val="26"/>
          <w:lang w:val="en-GB"/>
        </w:rPr>
      </w:pPr>
      <w:r>
        <w:rPr>
          <w:rFonts w:ascii="Arial" w:hAnsi="Arial" w:cs="Arial"/>
          <w:i/>
          <w:sz w:val="20"/>
          <w:szCs w:val="26"/>
          <w:lang w:val="en-GB"/>
        </w:rPr>
        <w:t>tim-ake.pentz@uni-rostock.de</w:t>
      </w:r>
    </w:p>
    <w:p w:rsidR="002B0627" w:rsidRPr="005D6287" w:rsidRDefault="002B0627" w:rsidP="00C6109E">
      <w:pPr>
        <w:jc w:val="center"/>
        <w:rPr>
          <w:rFonts w:ascii="Arial" w:hAnsi="Arial" w:cs="Arial"/>
          <w:i/>
          <w:sz w:val="20"/>
          <w:szCs w:val="26"/>
          <w:lang w:val="en-GB"/>
        </w:rPr>
      </w:pPr>
      <w:r w:rsidRPr="005D6287">
        <w:rPr>
          <w:rFonts w:ascii="Arial" w:hAnsi="Arial" w:cs="Arial"/>
          <w:i/>
          <w:sz w:val="20"/>
          <w:szCs w:val="26"/>
          <w:lang w:val="en-GB"/>
        </w:rPr>
        <w:t xml:space="preserve">Institute of </w:t>
      </w:r>
      <w:proofErr w:type="spellStart"/>
      <w:r w:rsidRPr="005D6287">
        <w:rPr>
          <w:rFonts w:ascii="Arial" w:hAnsi="Arial" w:cs="Arial"/>
          <w:i/>
          <w:sz w:val="20"/>
          <w:szCs w:val="26"/>
          <w:lang w:val="en-GB"/>
        </w:rPr>
        <w:t>Poltics</w:t>
      </w:r>
      <w:proofErr w:type="spellEnd"/>
      <w:r w:rsidRPr="005D6287">
        <w:rPr>
          <w:rFonts w:ascii="Arial" w:hAnsi="Arial" w:cs="Arial"/>
          <w:i/>
          <w:sz w:val="20"/>
          <w:szCs w:val="26"/>
          <w:lang w:val="en-GB"/>
        </w:rPr>
        <w:t xml:space="preserve"> and Administrative Science</w:t>
      </w:r>
    </w:p>
    <w:p w:rsidR="00F13BEB" w:rsidRPr="005D6287" w:rsidRDefault="002B0627" w:rsidP="00C6109E">
      <w:pPr>
        <w:jc w:val="center"/>
        <w:rPr>
          <w:rFonts w:ascii="Arial" w:hAnsi="Arial" w:cs="Arial"/>
          <w:i/>
          <w:sz w:val="20"/>
          <w:szCs w:val="26"/>
          <w:lang w:val="en-GB"/>
        </w:rPr>
      </w:pPr>
      <w:r w:rsidRPr="005D6287">
        <w:rPr>
          <w:rFonts w:ascii="Arial" w:hAnsi="Arial" w:cs="Arial"/>
          <w:i/>
          <w:sz w:val="20"/>
          <w:szCs w:val="26"/>
          <w:lang w:val="en-GB"/>
        </w:rPr>
        <w:t>University of Rostock</w:t>
      </w:r>
    </w:p>
    <w:p w:rsidR="00F13BEB" w:rsidRPr="005D6287" w:rsidRDefault="00F13BEB" w:rsidP="00C6109E">
      <w:pPr>
        <w:jc w:val="center"/>
        <w:rPr>
          <w:rFonts w:ascii="Arial" w:hAnsi="Arial" w:cs="Arial"/>
          <w:i/>
          <w:sz w:val="20"/>
          <w:szCs w:val="26"/>
          <w:lang w:val="en-GB"/>
        </w:rPr>
      </w:pPr>
    </w:p>
    <w:p w:rsidR="0082241B" w:rsidRPr="005D6287" w:rsidRDefault="004C5247" w:rsidP="00C6109E">
      <w:pPr>
        <w:jc w:val="center"/>
        <w:rPr>
          <w:rFonts w:ascii="Arial" w:hAnsi="Arial" w:cs="Arial"/>
          <w:i/>
          <w:sz w:val="20"/>
          <w:szCs w:val="26"/>
          <w:lang w:val="en-GB"/>
        </w:rPr>
      </w:pPr>
      <w:r w:rsidRPr="005D6287">
        <w:rPr>
          <w:rFonts w:ascii="Arial" w:hAnsi="Arial" w:cs="Arial"/>
          <w:i/>
          <w:sz w:val="20"/>
          <w:szCs w:val="26"/>
          <w:lang w:val="en-GB"/>
        </w:rPr>
        <w:t>May</w:t>
      </w:r>
      <w:r w:rsidR="00F13BEB" w:rsidRPr="005D6287">
        <w:rPr>
          <w:rFonts w:ascii="Arial" w:hAnsi="Arial" w:cs="Arial"/>
          <w:i/>
          <w:sz w:val="20"/>
          <w:szCs w:val="26"/>
          <w:lang w:val="en-GB"/>
        </w:rPr>
        <w:t xml:space="preserve"> 2013</w:t>
      </w:r>
    </w:p>
    <w:p w:rsidR="0082241B" w:rsidRPr="00AF6698" w:rsidRDefault="0082241B" w:rsidP="00C6109E">
      <w:pPr>
        <w:jc w:val="center"/>
        <w:rPr>
          <w:rFonts w:ascii="Arial" w:hAnsi="Arial" w:cs="Arial"/>
          <w:i/>
          <w:szCs w:val="26"/>
          <w:lang w:val="en-GB"/>
        </w:rPr>
      </w:pPr>
    </w:p>
    <w:p w:rsidR="006F31F4" w:rsidRPr="00171B5A" w:rsidRDefault="0082241B" w:rsidP="00C6109E">
      <w:pPr>
        <w:rPr>
          <w:rFonts w:ascii="Arial" w:hAnsi="Arial" w:cs="Arial"/>
          <w:b/>
          <w:sz w:val="22"/>
          <w:szCs w:val="26"/>
          <w:lang w:val="en-GB"/>
        </w:rPr>
      </w:pPr>
      <w:r w:rsidRPr="00AF6698">
        <w:rPr>
          <w:rFonts w:ascii="Arial" w:hAnsi="Arial" w:cs="Arial"/>
          <w:i/>
          <w:szCs w:val="26"/>
          <w:lang w:val="en-GB"/>
        </w:rPr>
        <w:br w:type="page"/>
      </w:r>
      <w:r w:rsidR="00975B75" w:rsidRPr="00171B5A">
        <w:rPr>
          <w:rFonts w:ascii="Arial" w:hAnsi="Arial" w:cs="Arial"/>
          <w:b/>
          <w:sz w:val="22"/>
          <w:szCs w:val="26"/>
          <w:lang w:val="en-GB"/>
        </w:rPr>
        <w:lastRenderedPageBreak/>
        <w:t>I.</w:t>
      </w:r>
      <w:r w:rsidRPr="00171B5A">
        <w:rPr>
          <w:rFonts w:ascii="Arial" w:hAnsi="Arial" w:cs="Arial"/>
          <w:b/>
          <w:sz w:val="22"/>
          <w:szCs w:val="26"/>
          <w:lang w:val="en-GB"/>
        </w:rPr>
        <w:t xml:space="preserve"> Assignment</w:t>
      </w:r>
      <w:r w:rsidR="009E73CB" w:rsidRPr="00171B5A">
        <w:rPr>
          <w:rFonts w:ascii="Arial" w:hAnsi="Arial" w:cs="Arial"/>
          <w:b/>
          <w:sz w:val="22"/>
          <w:szCs w:val="26"/>
          <w:lang w:val="en-GB"/>
        </w:rPr>
        <w:t xml:space="preserve"> and structure</w:t>
      </w:r>
      <w:r w:rsidR="00402553" w:rsidRPr="00171B5A">
        <w:rPr>
          <w:rFonts w:ascii="Arial" w:hAnsi="Arial" w:cs="Arial"/>
          <w:b/>
          <w:sz w:val="22"/>
          <w:szCs w:val="26"/>
          <w:lang w:val="en-GB"/>
        </w:rPr>
        <w:t xml:space="preserve"> of the expert opinion</w:t>
      </w:r>
    </w:p>
    <w:p w:rsidR="00C6109E" w:rsidRPr="00171B5A" w:rsidRDefault="00C6109E" w:rsidP="00C6109E">
      <w:pPr>
        <w:tabs>
          <w:tab w:val="center" w:pos="4536"/>
        </w:tabs>
        <w:suppressAutoHyphens/>
        <w:jc w:val="both"/>
        <w:rPr>
          <w:rFonts w:ascii="Arial" w:hAnsi="Arial" w:cs="Arial"/>
          <w:sz w:val="22"/>
          <w:szCs w:val="26"/>
          <w:lang w:val="en-GB"/>
        </w:rPr>
      </w:pPr>
    </w:p>
    <w:p w:rsidR="00C6109E" w:rsidRPr="00171B5A" w:rsidRDefault="00AF6698" w:rsidP="00C6109E">
      <w:pPr>
        <w:tabs>
          <w:tab w:val="center" w:pos="4536"/>
        </w:tabs>
        <w:suppressAutoHyphens/>
        <w:jc w:val="both"/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>The Mayor’s Office of the Hanseatic City of Rostock assigned the author to prov</w:t>
      </w:r>
      <w:r w:rsidR="00755ACF" w:rsidRPr="00171B5A">
        <w:rPr>
          <w:rFonts w:ascii="Arial" w:hAnsi="Arial" w:cs="Arial"/>
          <w:sz w:val="22"/>
          <w:szCs w:val="26"/>
          <w:lang w:val="en-GB"/>
        </w:rPr>
        <w:t>ide an expert opinion concerning</w:t>
      </w:r>
      <w:r w:rsidRPr="00171B5A">
        <w:rPr>
          <w:rFonts w:ascii="Arial" w:hAnsi="Arial" w:cs="Arial"/>
          <w:sz w:val="22"/>
          <w:szCs w:val="26"/>
          <w:lang w:val="en-GB"/>
        </w:rPr>
        <w:t xml:space="preserve"> the </w:t>
      </w:r>
      <w:r w:rsidRPr="00171B5A">
        <w:rPr>
          <w:rFonts w:ascii="Arial" w:hAnsi="Arial" w:cs="Arial"/>
          <w:i/>
          <w:sz w:val="22"/>
          <w:szCs w:val="26"/>
          <w:lang w:val="en-GB"/>
        </w:rPr>
        <w:t>“Final Report of the UBC Task Force on Development of the Organization - Conclusions and Proposals to the UBC Executive Board”</w:t>
      </w:r>
      <w:r w:rsidR="00C6109E" w:rsidRPr="00171B5A">
        <w:rPr>
          <w:rFonts w:ascii="Arial" w:hAnsi="Arial" w:cs="Arial"/>
          <w:sz w:val="22"/>
          <w:szCs w:val="26"/>
          <w:lang w:val="en-GB"/>
        </w:rPr>
        <w:t xml:space="preserve"> dated 25 February </w:t>
      </w:r>
      <w:r w:rsidRPr="00171B5A">
        <w:rPr>
          <w:rFonts w:ascii="Arial" w:hAnsi="Arial" w:cs="Arial"/>
          <w:sz w:val="22"/>
          <w:szCs w:val="26"/>
          <w:lang w:val="en-GB"/>
        </w:rPr>
        <w:t xml:space="preserve">2013 (further the </w:t>
      </w:r>
      <w:r w:rsidR="00EE5D0C" w:rsidRPr="00171B5A">
        <w:rPr>
          <w:rFonts w:ascii="Arial" w:hAnsi="Arial" w:cs="Arial"/>
          <w:i/>
          <w:sz w:val="22"/>
          <w:szCs w:val="26"/>
          <w:lang w:val="en-GB"/>
        </w:rPr>
        <w:t xml:space="preserve">Final </w:t>
      </w:r>
      <w:r w:rsidRPr="00171B5A">
        <w:rPr>
          <w:rFonts w:ascii="Arial" w:hAnsi="Arial" w:cs="Arial"/>
          <w:i/>
          <w:sz w:val="22"/>
          <w:szCs w:val="26"/>
          <w:lang w:val="en-GB"/>
        </w:rPr>
        <w:t>Report</w:t>
      </w:r>
      <w:r w:rsidRPr="00171B5A">
        <w:rPr>
          <w:rFonts w:ascii="Arial" w:hAnsi="Arial" w:cs="Arial"/>
          <w:sz w:val="22"/>
          <w:szCs w:val="26"/>
          <w:lang w:val="en-GB"/>
        </w:rPr>
        <w:t>)</w:t>
      </w:r>
      <w:r w:rsidR="00C6109E" w:rsidRPr="00171B5A">
        <w:rPr>
          <w:rFonts w:ascii="Arial" w:hAnsi="Arial" w:cs="Arial"/>
          <w:sz w:val="22"/>
          <w:szCs w:val="26"/>
          <w:lang w:val="en-GB"/>
        </w:rPr>
        <w:t>. Other consulted documents:</w:t>
      </w:r>
    </w:p>
    <w:p w:rsidR="00C6109E" w:rsidRPr="00171B5A" w:rsidRDefault="00C6109E" w:rsidP="00C6109E">
      <w:pPr>
        <w:tabs>
          <w:tab w:val="center" w:pos="4536"/>
        </w:tabs>
        <w:suppressAutoHyphens/>
        <w:jc w:val="both"/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 xml:space="preserve"> </w:t>
      </w:r>
    </w:p>
    <w:p w:rsidR="00C6109E" w:rsidRPr="00171B5A" w:rsidRDefault="00C6109E" w:rsidP="00C6109E">
      <w:pPr>
        <w:pStyle w:val="Listenabsatz"/>
        <w:numPr>
          <w:ilvl w:val="0"/>
          <w:numId w:val="5"/>
        </w:numPr>
        <w:tabs>
          <w:tab w:val="center" w:pos="4536"/>
        </w:tabs>
        <w:suppressAutoHyphens/>
        <w:jc w:val="both"/>
        <w:rPr>
          <w:rFonts w:ascii="Arial" w:hAnsi="Arial"/>
          <w:spacing w:val="-3"/>
          <w:sz w:val="22"/>
          <w:szCs w:val="26"/>
          <w:lang w:val="en-GB"/>
        </w:rPr>
      </w:pPr>
      <w:r w:rsidRPr="00171B5A">
        <w:rPr>
          <w:rFonts w:ascii="Arial" w:hAnsi="Arial"/>
          <w:spacing w:val="-3"/>
          <w:sz w:val="22"/>
          <w:szCs w:val="26"/>
          <w:lang w:val="en-GB"/>
        </w:rPr>
        <w:t xml:space="preserve">Minutes of the 66th Meeting of the Executive Board, </w:t>
      </w:r>
      <w:proofErr w:type="spellStart"/>
      <w:r w:rsidRPr="00171B5A">
        <w:rPr>
          <w:rFonts w:ascii="Arial" w:hAnsi="Arial"/>
          <w:spacing w:val="-2"/>
          <w:sz w:val="22"/>
          <w:szCs w:val="22"/>
          <w:lang w:val="en-GB"/>
        </w:rPr>
        <w:t>Umeå</w:t>
      </w:r>
      <w:proofErr w:type="spellEnd"/>
      <w:r w:rsidRPr="00171B5A">
        <w:rPr>
          <w:rFonts w:ascii="Arial" w:hAnsi="Arial"/>
          <w:spacing w:val="-2"/>
          <w:sz w:val="22"/>
          <w:szCs w:val="22"/>
          <w:lang w:val="en-GB"/>
        </w:rPr>
        <w:t>, 8 March 2013</w:t>
      </w:r>
    </w:p>
    <w:p w:rsidR="00C6109E" w:rsidRPr="00171B5A" w:rsidRDefault="00C6109E" w:rsidP="00C6109E">
      <w:pPr>
        <w:pStyle w:val="Listenabsatz"/>
        <w:numPr>
          <w:ilvl w:val="0"/>
          <w:numId w:val="5"/>
        </w:numPr>
        <w:tabs>
          <w:tab w:val="center" w:pos="4536"/>
        </w:tabs>
        <w:suppressAutoHyphens/>
        <w:jc w:val="both"/>
        <w:rPr>
          <w:rFonts w:ascii="Arial" w:hAnsi="Arial"/>
          <w:spacing w:val="-3"/>
          <w:sz w:val="22"/>
          <w:szCs w:val="26"/>
          <w:lang w:val="en-GB"/>
        </w:rPr>
      </w:pPr>
      <w:r w:rsidRPr="00171B5A">
        <w:rPr>
          <w:rFonts w:ascii="Arial" w:hAnsi="Arial"/>
          <w:spacing w:val="-2"/>
          <w:sz w:val="22"/>
          <w:szCs w:val="22"/>
          <w:lang w:val="en-GB"/>
        </w:rPr>
        <w:t>UBC Draft Budget 2013</w:t>
      </w:r>
    </w:p>
    <w:p w:rsidR="00C6109E" w:rsidRPr="00171B5A" w:rsidRDefault="00C6109E" w:rsidP="00C6109E">
      <w:pPr>
        <w:pStyle w:val="Listenabsatz"/>
        <w:numPr>
          <w:ilvl w:val="0"/>
          <w:numId w:val="5"/>
        </w:numPr>
        <w:tabs>
          <w:tab w:val="center" w:pos="4536"/>
        </w:tabs>
        <w:suppressAutoHyphens/>
        <w:jc w:val="both"/>
        <w:rPr>
          <w:rFonts w:ascii="Arial" w:hAnsi="Arial"/>
          <w:spacing w:val="-3"/>
          <w:sz w:val="22"/>
          <w:szCs w:val="26"/>
          <w:lang w:val="en-GB"/>
        </w:rPr>
      </w:pPr>
      <w:r w:rsidRPr="00171B5A">
        <w:rPr>
          <w:rFonts w:ascii="Arial" w:hAnsi="Arial"/>
          <w:spacing w:val="-2"/>
          <w:sz w:val="22"/>
          <w:szCs w:val="22"/>
          <w:lang w:val="en-GB"/>
        </w:rPr>
        <w:t>UBC Statute</w:t>
      </w:r>
    </w:p>
    <w:p w:rsidR="00EE5D0C" w:rsidRPr="00171B5A" w:rsidRDefault="00C6109E" w:rsidP="00EE5D0C">
      <w:pPr>
        <w:pStyle w:val="Listenabsatz"/>
        <w:numPr>
          <w:ilvl w:val="0"/>
          <w:numId w:val="5"/>
        </w:numPr>
        <w:tabs>
          <w:tab w:val="center" w:pos="4536"/>
        </w:tabs>
        <w:suppressAutoHyphens/>
        <w:jc w:val="both"/>
        <w:rPr>
          <w:rFonts w:ascii="Arial" w:hAnsi="Arial"/>
          <w:spacing w:val="-3"/>
          <w:sz w:val="22"/>
          <w:szCs w:val="26"/>
          <w:lang w:val="en-GB"/>
        </w:rPr>
      </w:pPr>
      <w:r w:rsidRPr="00171B5A">
        <w:rPr>
          <w:rFonts w:ascii="Arial" w:hAnsi="Arial"/>
          <w:spacing w:val="-2"/>
          <w:sz w:val="22"/>
          <w:szCs w:val="22"/>
          <w:lang w:val="en-GB"/>
        </w:rPr>
        <w:t xml:space="preserve">UBC </w:t>
      </w:r>
      <w:r w:rsidR="00EE5D0C" w:rsidRPr="00171B5A">
        <w:rPr>
          <w:rFonts w:ascii="Arial" w:hAnsi="Arial"/>
          <w:spacing w:val="-2"/>
          <w:sz w:val="22"/>
          <w:szCs w:val="22"/>
          <w:lang w:val="en-GB"/>
        </w:rPr>
        <w:t>2.0 - A Communication and Marketing Strategy for a Modern, Relevant and Trustworthy City Network in the Decade to Come</w:t>
      </w:r>
    </w:p>
    <w:p w:rsidR="00EE5D0C" w:rsidRPr="00171B5A" w:rsidRDefault="00EE5D0C" w:rsidP="00EE5D0C">
      <w:pPr>
        <w:pStyle w:val="Listenabsatz"/>
        <w:numPr>
          <w:ilvl w:val="0"/>
          <w:numId w:val="5"/>
        </w:numPr>
        <w:tabs>
          <w:tab w:val="center" w:pos="4536"/>
        </w:tabs>
        <w:suppressAutoHyphens/>
        <w:jc w:val="both"/>
        <w:rPr>
          <w:rFonts w:ascii="Arial" w:hAnsi="Arial"/>
          <w:spacing w:val="-3"/>
          <w:sz w:val="22"/>
          <w:szCs w:val="26"/>
          <w:lang w:val="en-GB"/>
        </w:rPr>
      </w:pPr>
      <w:r w:rsidRPr="00171B5A">
        <w:rPr>
          <w:rFonts w:ascii="Arial" w:hAnsi="Arial"/>
          <w:spacing w:val="-2"/>
          <w:sz w:val="22"/>
          <w:szCs w:val="22"/>
          <w:lang w:val="en-GB"/>
        </w:rPr>
        <w:t xml:space="preserve">Union of the Baltic Cities Strategy 2010-1015: Cities for a sustainable and prosperous Baltic Sea Region </w:t>
      </w:r>
    </w:p>
    <w:p w:rsidR="009E73CB" w:rsidRPr="00171B5A" w:rsidRDefault="009E73CB" w:rsidP="00EE5D0C">
      <w:pPr>
        <w:pStyle w:val="Listenabsatz"/>
        <w:tabs>
          <w:tab w:val="center" w:pos="4536"/>
        </w:tabs>
        <w:suppressAutoHyphens/>
        <w:ind w:left="360"/>
        <w:jc w:val="both"/>
        <w:rPr>
          <w:rFonts w:ascii="Arial" w:hAnsi="Arial"/>
          <w:spacing w:val="-3"/>
          <w:sz w:val="22"/>
          <w:szCs w:val="26"/>
          <w:lang w:val="en-GB"/>
        </w:rPr>
      </w:pPr>
    </w:p>
    <w:p w:rsidR="00AF6698" w:rsidRPr="00171B5A" w:rsidRDefault="00F635A9" w:rsidP="00C6109E">
      <w:pPr>
        <w:jc w:val="both"/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>This</w:t>
      </w:r>
      <w:r w:rsidR="00E7542E" w:rsidRPr="00171B5A">
        <w:rPr>
          <w:rFonts w:ascii="Arial" w:hAnsi="Arial" w:cs="Arial"/>
          <w:sz w:val="22"/>
          <w:szCs w:val="26"/>
          <w:lang w:val="en-GB"/>
        </w:rPr>
        <w:t xml:space="preserve"> </w:t>
      </w:r>
      <w:r w:rsidRPr="00171B5A">
        <w:rPr>
          <w:rFonts w:ascii="Arial" w:hAnsi="Arial" w:cs="Arial"/>
          <w:sz w:val="22"/>
          <w:szCs w:val="26"/>
          <w:lang w:val="en-GB"/>
        </w:rPr>
        <w:t>document</w:t>
      </w:r>
      <w:r w:rsidR="003B4BA7" w:rsidRPr="00171B5A">
        <w:rPr>
          <w:rFonts w:ascii="Arial" w:hAnsi="Arial" w:cs="Arial"/>
          <w:sz w:val="22"/>
          <w:szCs w:val="26"/>
          <w:lang w:val="en-GB"/>
        </w:rPr>
        <w:t xml:space="preserve"> follows </w:t>
      </w:r>
      <w:r w:rsidR="00E7542E" w:rsidRPr="00171B5A">
        <w:rPr>
          <w:rFonts w:ascii="Arial" w:hAnsi="Arial" w:cs="Arial"/>
          <w:sz w:val="22"/>
          <w:szCs w:val="26"/>
          <w:lang w:val="en-GB"/>
        </w:rPr>
        <w:t xml:space="preserve">the structure of the </w:t>
      </w:r>
      <w:r w:rsidR="00EE5D0C" w:rsidRPr="00171B5A">
        <w:rPr>
          <w:rFonts w:ascii="Arial" w:hAnsi="Arial" w:cs="Arial"/>
          <w:sz w:val="22"/>
          <w:szCs w:val="26"/>
          <w:lang w:val="en-GB"/>
        </w:rPr>
        <w:t xml:space="preserve">Final </w:t>
      </w:r>
      <w:r w:rsidR="00E7542E" w:rsidRPr="00171B5A">
        <w:rPr>
          <w:rFonts w:ascii="Arial" w:hAnsi="Arial" w:cs="Arial"/>
          <w:sz w:val="22"/>
          <w:szCs w:val="26"/>
          <w:lang w:val="en-GB"/>
        </w:rPr>
        <w:t xml:space="preserve">Report. </w:t>
      </w:r>
      <w:r w:rsidR="00063B36">
        <w:rPr>
          <w:rFonts w:ascii="Arial" w:hAnsi="Arial" w:cs="Arial"/>
          <w:sz w:val="22"/>
          <w:szCs w:val="26"/>
          <w:lang w:val="en-GB"/>
        </w:rPr>
        <w:t>Amendments and Recommendations</w:t>
      </w:r>
      <w:r w:rsidR="00E7542E" w:rsidRPr="00171B5A">
        <w:rPr>
          <w:rFonts w:ascii="Arial" w:hAnsi="Arial" w:cs="Arial"/>
          <w:sz w:val="22"/>
          <w:szCs w:val="26"/>
          <w:lang w:val="en-GB"/>
        </w:rPr>
        <w:t xml:space="preserve"> </w:t>
      </w:r>
      <w:r w:rsidR="002632D1" w:rsidRPr="00171B5A">
        <w:rPr>
          <w:rFonts w:ascii="Arial" w:hAnsi="Arial" w:cs="Arial"/>
          <w:sz w:val="22"/>
          <w:szCs w:val="26"/>
          <w:lang w:val="en-GB"/>
        </w:rPr>
        <w:t>with regard to</w:t>
      </w:r>
      <w:r w:rsidR="00AB1A60" w:rsidRPr="00171B5A">
        <w:rPr>
          <w:rFonts w:ascii="Arial" w:hAnsi="Arial" w:cs="Arial"/>
          <w:sz w:val="22"/>
          <w:szCs w:val="26"/>
          <w:lang w:val="en-GB"/>
        </w:rPr>
        <w:t xml:space="preserve"> its specific sections</w:t>
      </w:r>
      <w:r w:rsidR="00EE5D0C" w:rsidRPr="00171B5A">
        <w:rPr>
          <w:rFonts w:ascii="Arial" w:hAnsi="Arial" w:cs="Arial"/>
          <w:sz w:val="22"/>
          <w:szCs w:val="26"/>
          <w:lang w:val="en-GB"/>
        </w:rPr>
        <w:t xml:space="preserve">, </w:t>
      </w:r>
      <w:r w:rsidR="001C3E08" w:rsidRPr="00171B5A">
        <w:rPr>
          <w:rFonts w:ascii="Arial" w:hAnsi="Arial" w:cs="Arial"/>
          <w:sz w:val="22"/>
          <w:szCs w:val="26"/>
          <w:lang w:val="en-GB"/>
        </w:rPr>
        <w:t>“</w:t>
      </w:r>
      <w:r w:rsidR="00E7542E" w:rsidRPr="00171B5A">
        <w:rPr>
          <w:rFonts w:ascii="Arial" w:hAnsi="Arial" w:cs="Arial"/>
          <w:sz w:val="22"/>
          <w:szCs w:val="26"/>
          <w:lang w:val="en-GB"/>
        </w:rPr>
        <w:t>UBC Working Methods</w:t>
      </w:r>
      <w:r w:rsidR="001C3E08" w:rsidRPr="00171B5A">
        <w:rPr>
          <w:rFonts w:ascii="Arial" w:hAnsi="Arial" w:cs="Arial"/>
          <w:sz w:val="22"/>
          <w:szCs w:val="26"/>
          <w:lang w:val="en-GB"/>
        </w:rPr>
        <w:t>”</w:t>
      </w:r>
      <w:r w:rsidR="00E7542E" w:rsidRPr="00171B5A">
        <w:rPr>
          <w:rFonts w:ascii="Arial" w:hAnsi="Arial" w:cs="Arial"/>
          <w:sz w:val="22"/>
          <w:szCs w:val="26"/>
          <w:lang w:val="en-GB"/>
        </w:rPr>
        <w:t xml:space="preserve">, </w:t>
      </w:r>
      <w:r w:rsidR="001C3E08" w:rsidRPr="00171B5A">
        <w:rPr>
          <w:rFonts w:ascii="Arial" w:hAnsi="Arial" w:cs="Arial"/>
          <w:sz w:val="22"/>
          <w:szCs w:val="26"/>
          <w:lang w:val="en-GB"/>
        </w:rPr>
        <w:t>“</w:t>
      </w:r>
      <w:r w:rsidR="00E7542E" w:rsidRPr="00171B5A">
        <w:rPr>
          <w:rFonts w:ascii="Arial" w:hAnsi="Arial" w:cs="Arial"/>
          <w:sz w:val="22"/>
          <w:szCs w:val="26"/>
          <w:lang w:val="en-GB"/>
        </w:rPr>
        <w:t>Recommendation</w:t>
      </w:r>
      <w:r w:rsidR="007B67BA" w:rsidRPr="00171B5A">
        <w:rPr>
          <w:rFonts w:ascii="Arial" w:hAnsi="Arial" w:cs="Arial"/>
          <w:sz w:val="22"/>
          <w:szCs w:val="26"/>
          <w:lang w:val="en-GB"/>
        </w:rPr>
        <w:t>s</w:t>
      </w:r>
      <w:r w:rsidR="004C253F" w:rsidRPr="00171B5A">
        <w:rPr>
          <w:rFonts w:ascii="Arial" w:hAnsi="Arial" w:cs="Arial"/>
          <w:sz w:val="22"/>
          <w:szCs w:val="26"/>
          <w:lang w:val="en-GB"/>
        </w:rPr>
        <w:t xml:space="preserve"> for changes in UBC Statute</w:t>
      </w:r>
      <w:r w:rsidR="001C3E08" w:rsidRPr="00171B5A">
        <w:rPr>
          <w:rFonts w:ascii="Arial" w:hAnsi="Arial" w:cs="Arial"/>
          <w:sz w:val="22"/>
          <w:szCs w:val="26"/>
          <w:lang w:val="en-GB"/>
        </w:rPr>
        <w:t>”</w:t>
      </w:r>
      <w:r w:rsidR="004C253F" w:rsidRPr="00171B5A">
        <w:rPr>
          <w:rFonts w:ascii="Arial" w:hAnsi="Arial" w:cs="Arial"/>
          <w:sz w:val="22"/>
          <w:szCs w:val="26"/>
          <w:lang w:val="en-GB"/>
        </w:rPr>
        <w:t>,</w:t>
      </w:r>
      <w:r w:rsidR="002632D1" w:rsidRPr="00171B5A">
        <w:rPr>
          <w:rFonts w:ascii="Arial" w:hAnsi="Arial" w:cs="Arial"/>
          <w:sz w:val="22"/>
          <w:szCs w:val="26"/>
          <w:lang w:val="en-GB"/>
        </w:rPr>
        <w:t xml:space="preserve"> </w:t>
      </w:r>
      <w:r w:rsidR="001C3E08" w:rsidRPr="00171B5A">
        <w:rPr>
          <w:rFonts w:ascii="Arial" w:hAnsi="Arial" w:cs="Arial"/>
          <w:sz w:val="22"/>
          <w:szCs w:val="26"/>
          <w:lang w:val="en-GB"/>
        </w:rPr>
        <w:t>“</w:t>
      </w:r>
      <w:r w:rsidR="002632D1" w:rsidRPr="00171B5A">
        <w:rPr>
          <w:rFonts w:ascii="Arial" w:hAnsi="Arial" w:cs="Arial"/>
          <w:sz w:val="22"/>
          <w:szCs w:val="26"/>
          <w:lang w:val="en-GB"/>
        </w:rPr>
        <w:t>Recommendations for changes in UBC Internal Regulation</w:t>
      </w:r>
      <w:r w:rsidR="001C3E08" w:rsidRPr="00171B5A">
        <w:rPr>
          <w:rFonts w:ascii="Arial" w:hAnsi="Arial" w:cs="Arial"/>
          <w:sz w:val="22"/>
          <w:szCs w:val="26"/>
          <w:lang w:val="en-GB"/>
        </w:rPr>
        <w:t>”</w:t>
      </w:r>
      <w:r w:rsidR="002D71E5" w:rsidRPr="00171B5A">
        <w:rPr>
          <w:rFonts w:ascii="Arial" w:hAnsi="Arial" w:cs="Arial"/>
          <w:sz w:val="22"/>
          <w:szCs w:val="26"/>
          <w:lang w:val="en-GB"/>
        </w:rPr>
        <w:t>, are</w:t>
      </w:r>
      <w:r w:rsidRPr="00171B5A">
        <w:rPr>
          <w:rFonts w:ascii="Arial" w:hAnsi="Arial" w:cs="Arial"/>
          <w:sz w:val="22"/>
          <w:szCs w:val="26"/>
          <w:lang w:val="en-GB"/>
        </w:rPr>
        <w:t xml:space="preserve"> present</w:t>
      </w:r>
      <w:r w:rsidR="00AB1A60" w:rsidRPr="00171B5A">
        <w:rPr>
          <w:rFonts w:ascii="Arial" w:hAnsi="Arial" w:cs="Arial"/>
          <w:sz w:val="22"/>
          <w:szCs w:val="26"/>
          <w:lang w:val="en-GB"/>
        </w:rPr>
        <w:t>ed in part II of this document followed by c</w:t>
      </w:r>
      <w:r w:rsidR="007B67BA" w:rsidRPr="00171B5A">
        <w:rPr>
          <w:rFonts w:ascii="Arial" w:hAnsi="Arial" w:cs="Arial"/>
          <w:sz w:val="22"/>
          <w:szCs w:val="26"/>
          <w:lang w:val="en-GB"/>
        </w:rPr>
        <w:t>onclu</w:t>
      </w:r>
      <w:r w:rsidR="00AB1A60" w:rsidRPr="00171B5A">
        <w:rPr>
          <w:rFonts w:ascii="Arial" w:hAnsi="Arial" w:cs="Arial"/>
          <w:sz w:val="22"/>
          <w:szCs w:val="26"/>
          <w:lang w:val="en-GB"/>
        </w:rPr>
        <w:t>ding remarks in part III.</w:t>
      </w:r>
    </w:p>
    <w:p w:rsidR="00AF462E" w:rsidRPr="00171B5A" w:rsidRDefault="00AF462E" w:rsidP="00C6109E">
      <w:pPr>
        <w:rPr>
          <w:rFonts w:ascii="Arial" w:hAnsi="Arial" w:cs="Arial"/>
          <w:sz w:val="22"/>
          <w:szCs w:val="26"/>
          <w:lang w:val="en-GB"/>
        </w:rPr>
      </w:pPr>
    </w:p>
    <w:p w:rsidR="00EA1F5F" w:rsidRPr="00171B5A" w:rsidRDefault="00975B75" w:rsidP="00C6109E">
      <w:pPr>
        <w:rPr>
          <w:rFonts w:ascii="Arial" w:hAnsi="Arial" w:cs="Arial"/>
          <w:b/>
          <w:sz w:val="22"/>
          <w:szCs w:val="26"/>
          <w:lang w:val="en-GB"/>
        </w:rPr>
      </w:pPr>
      <w:r w:rsidRPr="00171B5A">
        <w:rPr>
          <w:rFonts w:ascii="Arial" w:hAnsi="Arial" w:cs="Arial"/>
          <w:b/>
          <w:sz w:val="22"/>
          <w:szCs w:val="26"/>
          <w:lang w:val="en-GB"/>
        </w:rPr>
        <w:t>II</w:t>
      </w:r>
      <w:proofErr w:type="gramStart"/>
      <w:r w:rsidRPr="00171B5A">
        <w:rPr>
          <w:rFonts w:ascii="Arial" w:hAnsi="Arial" w:cs="Arial"/>
          <w:b/>
          <w:sz w:val="22"/>
          <w:szCs w:val="26"/>
          <w:lang w:val="en-GB"/>
        </w:rPr>
        <w:t xml:space="preserve">. </w:t>
      </w:r>
      <w:r w:rsidR="00115675" w:rsidRPr="00171B5A">
        <w:rPr>
          <w:rFonts w:ascii="Arial" w:hAnsi="Arial" w:cs="Arial"/>
          <w:b/>
          <w:sz w:val="22"/>
          <w:szCs w:val="26"/>
          <w:lang w:val="en-GB"/>
        </w:rPr>
        <w:t> </w:t>
      </w:r>
      <w:r w:rsidR="00063B36">
        <w:rPr>
          <w:rFonts w:ascii="Arial" w:hAnsi="Arial" w:cs="Arial"/>
          <w:b/>
          <w:sz w:val="22"/>
          <w:szCs w:val="26"/>
          <w:lang w:val="en-GB"/>
        </w:rPr>
        <w:t>Amendments</w:t>
      </w:r>
      <w:proofErr w:type="gramEnd"/>
      <w:r w:rsidR="00063B36">
        <w:rPr>
          <w:rFonts w:ascii="Arial" w:hAnsi="Arial" w:cs="Arial"/>
          <w:b/>
          <w:sz w:val="22"/>
          <w:szCs w:val="26"/>
          <w:lang w:val="en-GB"/>
        </w:rPr>
        <w:t>/Recommendations</w:t>
      </w:r>
      <w:r w:rsidRPr="00171B5A">
        <w:rPr>
          <w:rFonts w:ascii="Arial" w:hAnsi="Arial" w:cs="Arial"/>
          <w:b/>
          <w:sz w:val="22"/>
          <w:szCs w:val="26"/>
          <w:lang w:val="en-GB"/>
        </w:rPr>
        <w:t xml:space="preserve"> Final Report Sections 1-3</w:t>
      </w:r>
    </w:p>
    <w:p w:rsidR="003B4BA7" w:rsidRPr="00171B5A" w:rsidRDefault="003B4BA7" w:rsidP="00C6109E">
      <w:pPr>
        <w:rPr>
          <w:rFonts w:ascii="Arial" w:hAnsi="Arial" w:cs="Arial"/>
          <w:b/>
          <w:sz w:val="22"/>
          <w:szCs w:val="26"/>
          <w:lang w:val="en-GB"/>
        </w:rPr>
      </w:pPr>
    </w:p>
    <w:p w:rsidR="00C6109E" w:rsidRPr="00171B5A" w:rsidRDefault="003B4BA7" w:rsidP="00C6109E">
      <w:pPr>
        <w:rPr>
          <w:rFonts w:ascii="Arial" w:hAnsi="Arial" w:cs="Arial"/>
          <w:i/>
          <w:sz w:val="22"/>
          <w:szCs w:val="26"/>
          <w:lang w:val="en-GB"/>
        </w:rPr>
      </w:pPr>
      <w:r w:rsidRPr="00171B5A">
        <w:rPr>
          <w:rFonts w:ascii="Arial" w:hAnsi="Arial" w:cs="Arial"/>
          <w:i/>
          <w:sz w:val="22"/>
          <w:szCs w:val="26"/>
          <w:lang w:val="en-GB"/>
        </w:rPr>
        <w:t>1. UBC Working Methods</w:t>
      </w:r>
      <w:r w:rsidR="0004115F" w:rsidRPr="00171B5A">
        <w:rPr>
          <w:rFonts w:ascii="Arial" w:hAnsi="Arial" w:cs="Arial"/>
          <w:i/>
          <w:sz w:val="22"/>
          <w:szCs w:val="26"/>
          <w:lang w:val="en-GB"/>
        </w:rPr>
        <w:t xml:space="preserve"> (pp. 7-14)</w:t>
      </w:r>
    </w:p>
    <w:p w:rsidR="003B4BA7" w:rsidRDefault="003B4BA7" w:rsidP="00C6109E">
      <w:pPr>
        <w:rPr>
          <w:rFonts w:ascii="Arial" w:hAnsi="Arial" w:cs="Arial"/>
          <w:i/>
          <w:szCs w:val="26"/>
          <w:lang w:val="en-GB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69"/>
        <w:gridCol w:w="5837"/>
      </w:tblGrid>
      <w:tr w:rsidR="0004115F">
        <w:tc>
          <w:tcPr>
            <w:tcW w:w="3369" w:type="dxa"/>
          </w:tcPr>
          <w:p w:rsidR="0004115F" w:rsidRPr="00171B5A" w:rsidRDefault="0004115F" w:rsidP="00C6109E">
            <w:pPr>
              <w:rPr>
                <w:rFonts w:ascii="Arial" w:hAnsi="Arial" w:cs="Arial"/>
                <w:b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b/>
                <w:sz w:val="20"/>
                <w:szCs w:val="26"/>
                <w:lang w:val="en-GB"/>
              </w:rPr>
              <w:t>Topic</w:t>
            </w:r>
          </w:p>
        </w:tc>
        <w:tc>
          <w:tcPr>
            <w:tcW w:w="5837" w:type="dxa"/>
          </w:tcPr>
          <w:p w:rsidR="0004115F" w:rsidRPr="00171B5A" w:rsidRDefault="00DA757D" w:rsidP="00C6109E">
            <w:pPr>
              <w:rPr>
                <w:rFonts w:ascii="Arial" w:hAnsi="Arial" w:cs="Arial"/>
                <w:b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b/>
                <w:sz w:val="20"/>
                <w:szCs w:val="26"/>
                <w:lang w:val="en-GB"/>
              </w:rPr>
              <w:t>Amendments/</w:t>
            </w:r>
            <w:r w:rsidR="0004115F" w:rsidRPr="00171B5A">
              <w:rPr>
                <w:rFonts w:ascii="Arial" w:hAnsi="Arial" w:cs="Arial"/>
                <w:b/>
                <w:sz w:val="20"/>
                <w:szCs w:val="26"/>
                <w:lang w:val="en-GB"/>
              </w:rPr>
              <w:t>Recommendation</w:t>
            </w:r>
            <w:r w:rsidRPr="00171B5A">
              <w:rPr>
                <w:rFonts w:ascii="Arial" w:hAnsi="Arial" w:cs="Arial"/>
                <w:b/>
                <w:sz w:val="20"/>
                <w:szCs w:val="26"/>
                <w:lang w:val="en-GB"/>
              </w:rPr>
              <w:t>s</w:t>
            </w:r>
          </w:p>
        </w:tc>
      </w:tr>
      <w:tr w:rsidR="001C23C2">
        <w:trPr>
          <w:trHeight w:val="1299"/>
        </w:trPr>
        <w:tc>
          <w:tcPr>
            <w:tcW w:w="3369" w:type="dxa"/>
          </w:tcPr>
          <w:p w:rsidR="001C23C2" w:rsidRPr="00171B5A" w:rsidRDefault="001C23C2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Executive Board</w:t>
            </w:r>
          </w:p>
          <w:p w:rsidR="001C23C2" w:rsidRPr="00171B5A" w:rsidRDefault="001C23C2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Decision Making</w:t>
            </w:r>
          </w:p>
          <w:p w:rsidR="001C23C2" w:rsidRPr="00171B5A" w:rsidRDefault="001C23C2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Content of the meetings</w:t>
            </w:r>
          </w:p>
          <w:p w:rsidR="001C23C2" w:rsidRPr="00171B5A" w:rsidRDefault="001C23C2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Practical issues</w:t>
            </w:r>
          </w:p>
          <w:p w:rsidR="001C23C2" w:rsidRPr="00171B5A" w:rsidRDefault="001C23C2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Proposals</w:t>
            </w:r>
          </w:p>
        </w:tc>
        <w:tc>
          <w:tcPr>
            <w:tcW w:w="5837" w:type="dxa"/>
          </w:tcPr>
          <w:p w:rsidR="000D6DCE" w:rsidRPr="00171B5A" w:rsidRDefault="001C23C2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task force’s recommendations and proposals should be supported in general.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0D6DCE" w:rsidRPr="00171B5A" w:rsidRDefault="001C23C2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However, all EB members should have the chance to give a feedback on the proposed agenda prepared by the President, General Secretary and Strategy Coordinator. Final agenda </w:t>
            </w:r>
            <w:r w:rsidR="00C5774F" w:rsidRPr="00171B5A">
              <w:rPr>
                <w:rFonts w:ascii="Arial" w:hAnsi="Arial" w:cs="Arial"/>
                <w:sz w:val="20"/>
                <w:szCs w:val="26"/>
                <w:lang w:val="en-GB"/>
              </w:rPr>
              <w:t>and proposals for decision-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making should be distributed at least </w:t>
            </w:r>
            <w:r w:rsidR="00C5774F" w:rsidRPr="00171B5A">
              <w:rPr>
                <w:rFonts w:ascii="Arial" w:hAnsi="Arial" w:cs="Arial"/>
                <w:sz w:val="20"/>
                <w:szCs w:val="26"/>
                <w:lang w:val="en-GB"/>
              </w:rPr>
              <w:t>8-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10 working days in advance to guarantee proper consideration of the EB members.</w:t>
            </w:r>
            <w:r w:rsidR="00946A22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0D6DCE" w:rsidRPr="00171B5A" w:rsidRDefault="00DF565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time for meetings can be reduced to 2 days including travelling (lunch-to-lunch). </w:t>
            </w:r>
            <w:r w:rsidR="0072669D" w:rsidRPr="00171B5A">
              <w:rPr>
                <w:rFonts w:ascii="Arial" w:hAnsi="Arial" w:cs="Arial"/>
                <w:sz w:val="20"/>
                <w:szCs w:val="26"/>
                <w:lang w:val="en-GB"/>
              </w:rPr>
              <w:t>F</w:t>
            </w:r>
            <w:r w:rsidR="00946A22" w:rsidRPr="00171B5A">
              <w:rPr>
                <w:rFonts w:ascii="Arial" w:hAnsi="Arial" w:cs="Arial"/>
                <w:sz w:val="20"/>
                <w:szCs w:val="26"/>
                <w:lang w:val="en-GB"/>
              </w:rPr>
              <w:t>or a concise EB meeting protocol HELCOM Working Grou</w:t>
            </w:r>
            <w:r w:rsidR="00C5774F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ps protocols could be used as </w:t>
            </w:r>
            <w:r w:rsidR="00946A22" w:rsidRPr="00171B5A">
              <w:rPr>
                <w:rFonts w:ascii="Arial" w:hAnsi="Arial" w:cs="Arial"/>
                <w:sz w:val="20"/>
                <w:szCs w:val="26"/>
                <w:lang w:val="en-GB"/>
              </w:rPr>
              <w:t>blueprint.</w:t>
            </w:r>
            <w:r w:rsidR="006F1B58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1C23C2" w:rsidRPr="00171B5A" w:rsidRDefault="006F1B58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If a</w:t>
            </w:r>
            <w:r w:rsidR="00C5774F" w:rsidRPr="00171B5A">
              <w:rPr>
                <w:rFonts w:ascii="Arial" w:hAnsi="Arial" w:cs="Arial"/>
                <w:sz w:val="20"/>
                <w:szCs w:val="26"/>
                <w:lang w:val="en-GB"/>
              </w:rPr>
              <w:t>n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information let</w:t>
            </w:r>
            <w:r w:rsidR="00863641" w:rsidRPr="00171B5A">
              <w:rPr>
                <w:rFonts w:ascii="Arial" w:hAnsi="Arial" w:cs="Arial"/>
                <w:sz w:val="20"/>
                <w:szCs w:val="26"/>
                <w:lang w:val="en-GB"/>
              </w:rPr>
              <w:t>ter shall be distributed it should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be guaranteed that its distribution follows max one week after the EB meeting.</w:t>
            </w:r>
          </w:p>
        </w:tc>
      </w:tr>
      <w:tr w:rsidR="00946A22">
        <w:trPr>
          <w:trHeight w:val="811"/>
        </w:trPr>
        <w:tc>
          <w:tcPr>
            <w:tcW w:w="3369" w:type="dxa"/>
          </w:tcPr>
          <w:p w:rsidR="00946A22" w:rsidRPr="00171B5A" w:rsidRDefault="00AE76CC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Presidium</w:t>
            </w:r>
          </w:p>
        </w:tc>
        <w:tc>
          <w:tcPr>
            <w:tcW w:w="5837" w:type="dxa"/>
          </w:tcPr>
          <w:p w:rsidR="00946A22" w:rsidRPr="00171B5A" w:rsidRDefault="00AE76CC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The task force’s recommendations and proposals should be supported</w:t>
            </w:r>
            <w:r w:rsidR="00163B3A" w:rsidRPr="00171B5A">
              <w:rPr>
                <w:rFonts w:ascii="Arial" w:hAnsi="Arial" w:cs="Arial"/>
                <w:sz w:val="20"/>
                <w:szCs w:val="26"/>
                <w:lang w:val="en-GB"/>
              </w:rPr>
              <w:t>.</w:t>
            </w:r>
          </w:p>
        </w:tc>
      </w:tr>
      <w:tr w:rsidR="00AE76CC">
        <w:trPr>
          <w:trHeight w:val="1299"/>
        </w:trPr>
        <w:tc>
          <w:tcPr>
            <w:tcW w:w="3369" w:type="dxa"/>
          </w:tcPr>
          <w:p w:rsidR="0014283A" w:rsidRPr="00171B5A" w:rsidRDefault="00AE76CC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General Sec</w:t>
            </w:r>
            <w:r w:rsidR="0014283A" w:rsidRPr="00171B5A">
              <w:rPr>
                <w:rFonts w:ascii="Arial" w:hAnsi="Arial" w:cs="Arial"/>
                <w:sz w:val="20"/>
                <w:szCs w:val="26"/>
                <w:lang w:val="en-GB"/>
              </w:rPr>
              <w:t>r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etariat</w:t>
            </w:r>
          </w:p>
          <w:p w:rsidR="00AE76CC" w:rsidRPr="00171B5A" w:rsidRDefault="00AE76CC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</w:tc>
        <w:tc>
          <w:tcPr>
            <w:tcW w:w="5837" w:type="dxa"/>
          </w:tcPr>
          <w:p w:rsidR="000D6DCE" w:rsidRPr="00171B5A" w:rsidRDefault="00AA200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task force’s recommendations and proposals should be supported.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AE76CC" w:rsidRPr="00171B5A" w:rsidRDefault="00AA200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Even though it will be necessary to contract one UBC communications officer (</w:t>
            </w:r>
            <w:r w:rsidR="001F76A2" w:rsidRPr="00171B5A">
              <w:rPr>
                <w:rFonts w:ascii="Arial" w:hAnsi="Arial" w:cs="Arial"/>
                <w:sz w:val="20"/>
                <w:szCs w:val="26"/>
                <w:lang w:val="en-GB"/>
              </w:rPr>
              <w:t>language skills and skills for content management and website development are mandatory for this position)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should be considered </w:t>
            </w:r>
            <w:r w:rsidR="001F76A2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with regard to the UBC budget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if </w:t>
            </w:r>
            <w:r w:rsidR="00755ACF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further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additional staff is necessary or if external services would be mo</w:t>
            </w:r>
            <w:r w:rsidR="001F76A2" w:rsidRPr="00171B5A">
              <w:rPr>
                <w:rFonts w:ascii="Arial" w:hAnsi="Arial" w:cs="Arial"/>
                <w:sz w:val="20"/>
                <w:szCs w:val="26"/>
                <w:lang w:val="en-GB"/>
              </w:rPr>
              <w:t>re cost efficient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.</w:t>
            </w:r>
          </w:p>
        </w:tc>
      </w:tr>
      <w:tr w:rsidR="00E66295">
        <w:trPr>
          <w:trHeight w:val="1299"/>
        </w:trPr>
        <w:tc>
          <w:tcPr>
            <w:tcW w:w="3369" w:type="dxa"/>
          </w:tcPr>
          <w:p w:rsidR="00163B3A" w:rsidRPr="00171B5A" w:rsidRDefault="00E66295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lastRenderedPageBreak/>
              <w:t>Commissions</w:t>
            </w:r>
          </w:p>
          <w:p w:rsidR="00E66295" w:rsidRPr="00171B5A" w:rsidRDefault="00E66295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</w:tc>
        <w:tc>
          <w:tcPr>
            <w:tcW w:w="5837" w:type="dxa"/>
          </w:tcPr>
          <w:p w:rsidR="000D6DCE" w:rsidRPr="00171B5A" w:rsidRDefault="00163B3A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The task force’s recommendations and proposals should be supported.</w:t>
            </w:r>
            <w:r w:rsidR="00F822E6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236098" w:rsidRPr="00171B5A" w:rsidRDefault="00EA1F5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For reasons </w:t>
            </w:r>
            <w:r w:rsidR="004549A3" w:rsidRPr="00171B5A">
              <w:rPr>
                <w:rFonts w:ascii="Arial" w:hAnsi="Arial" w:cs="Arial"/>
                <w:sz w:val="20"/>
                <w:szCs w:val="26"/>
                <w:lang w:val="en-GB"/>
              </w:rPr>
              <w:t>of organisational efficiency it is indeed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  <w:r w:rsidR="00690379" w:rsidRPr="00171B5A">
              <w:rPr>
                <w:rFonts w:ascii="Arial" w:hAnsi="Arial" w:cs="Arial"/>
                <w:sz w:val="20"/>
                <w:szCs w:val="26"/>
                <w:lang w:val="en-GB"/>
              </w:rPr>
              <w:t>highly recommended to</w:t>
            </w:r>
            <w:r w:rsidR="00F822E6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reduce the number of commissions </w:t>
            </w:r>
            <w:r w:rsidR="00236098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by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clustering</w:t>
            </w:r>
            <w:r w:rsidR="004549A3" w:rsidRPr="00171B5A">
              <w:rPr>
                <w:rFonts w:ascii="Arial" w:hAnsi="Arial" w:cs="Arial"/>
                <w:sz w:val="20"/>
                <w:szCs w:val="26"/>
                <w:lang w:val="en-GB"/>
              </w:rPr>
              <w:t>/merging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issues</w:t>
            </w:r>
            <w:r w:rsidR="00755ACF" w:rsidRPr="00171B5A">
              <w:rPr>
                <w:rFonts w:ascii="Arial" w:hAnsi="Arial" w:cs="Arial"/>
                <w:sz w:val="20"/>
                <w:szCs w:val="26"/>
                <w:lang w:val="en-GB"/>
              </w:rPr>
              <w:t>.</w:t>
            </w:r>
            <w:r w:rsidR="00C85DF4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Recommended structure</w:t>
            </w:r>
            <w:r w:rsidR="00236098" w:rsidRPr="00171B5A">
              <w:rPr>
                <w:rFonts w:ascii="Arial" w:hAnsi="Arial" w:cs="Arial"/>
                <w:sz w:val="20"/>
                <w:szCs w:val="26"/>
                <w:lang w:val="en-GB"/>
              </w:rPr>
              <w:t>:</w:t>
            </w:r>
          </w:p>
          <w:p w:rsidR="00755ACF" w:rsidRPr="00171B5A" w:rsidRDefault="00755AC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</w:p>
          <w:p w:rsidR="00C85DF4" w:rsidRPr="00171B5A" w:rsidRDefault="00C85DF4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Commission on </w:t>
            </w:r>
            <w:r w:rsidR="00690379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Urban </w:t>
            </w:r>
            <w:r w:rsidR="006216D2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Planning, </w:t>
            </w:r>
            <w:r w:rsidR="00236098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Env</w:t>
            </w: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ironmental Protection</w:t>
            </w:r>
            <w:r w:rsidR="006216D2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 and Resource Efficiency</w:t>
            </w:r>
          </w:p>
          <w:p w:rsidR="00236098" w:rsidRPr="00171B5A" w:rsidRDefault="00236098" w:rsidP="00C6109E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6"/>
                <w:lang w:val="en-GB"/>
              </w:rPr>
            </w:pPr>
          </w:p>
          <w:p w:rsidR="00C85DF4" w:rsidRPr="00171B5A" w:rsidRDefault="00C85DF4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Commission on </w:t>
            </w:r>
            <w:r w:rsidR="007F52AC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Econom</w:t>
            </w:r>
            <w:r w:rsidR="00236098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ic</w:t>
            </w: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 and Financial Affairs</w:t>
            </w:r>
            <w:r w:rsidR="006216D2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 </w:t>
            </w:r>
            <w:r w:rsidR="00236098" w:rsidRPr="00171B5A">
              <w:rPr>
                <w:rFonts w:ascii="Arial" w:hAnsi="Arial" w:cs="Arial"/>
                <w:sz w:val="20"/>
                <w:szCs w:val="26"/>
                <w:lang w:val="en-GB"/>
              </w:rPr>
              <w:t>(incl.</w:t>
            </w:r>
            <w:r w:rsidR="007F52AC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Research, Investment, </w:t>
            </w:r>
            <w:r w:rsidR="00236098" w:rsidRPr="00171B5A">
              <w:rPr>
                <w:rFonts w:ascii="Arial" w:hAnsi="Arial" w:cs="Arial"/>
                <w:sz w:val="20"/>
                <w:szCs w:val="26"/>
                <w:lang w:val="en-GB"/>
              </w:rPr>
              <w:t>Tourism, Business Cooperation, Gender Equality)</w:t>
            </w:r>
          </w:p>
          <w:p w:rsidR="007F52AC" w:rsidRPr="00171B5A" w:rsidRDefault="007F52AC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755ACF" w:rsidRPr="00171B5A" w:rsidRDefault="006216D2" w:rsidP="00C6109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Commission on </w:t>
            </w:r>
            <w:r w:rsidR="00EA1F5F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Urban </w:t>
            </w:r>
            <w:r w:rsidR="007F52AC"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Supply and Services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  <w:r w:rsidR="007F52AC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(including Water &amp; Energy supply, Health Care, Culture, Transportation, </w:t>
            </w:r>
            <w:r w:rsidR="00236098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Sport, </w:t>
            </w:r>
            <w:r w:rsidR="007F52AC" w:rsidRPr="00171B5A">
              <w:rPr>
                <w:rFonts w:ascii="Arial" w:hAnsi="Arial" w:cs="Arial"/>
                <w:sz w:val="20"/>
                <w:szCs w:val="26"/>
                <w:lang w:val="en-GB"/>
              </w:rPr>
              <w:t>Education)</w:t>
            </w:r>
          </w:p>
          <w:p w:rsidR="00E66295" w:rsidRPr="00171B5A" w:rsidRDefault="00E66295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</w:tc>
      </w:tr>
      <w:tr w:rsidR="004549A3">
        <w:trPr>
          <w:trHeight w:val="1299"/>
        </w:trPr>
        <w:tc>
          <w:tcPr>
            <w:tcW w:w="3369" w:type="dxa"/>
          </w:tcPr>
          <w:p w:rsidR="004549A3" w:rsidRPr="00171B5A" w:rsidRDefault="004549A3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General Conference</w:t>
            </w:r>
          </w:p>
        </w:tc>
        <w:tc>
          <w:tcPr>
            <w:tcW w:w="5837" w:type="dxa"/>
          </w:tcPr>
          <w:p w:rsidR="000D6DCE" w:rsidRPr="00171B5A" w:rsidRDefault="000A45EB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task force’s recommendations and proposals should be supported.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0D6DCE" w:rsidRPr="00171B5A" w:rsidRDefault="000A45EB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However, the creation of an additional conference (Urban Forum)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in cooperation with other BSR Organisations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could draw attention from the 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UBC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GC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as unique UBC event.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There are basically two possibilities: 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0D6DCE" w:rsidRPr="00171B5A" w:rsidRDefault="009D0B7D" w:rsidP="00C6109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U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>pgrade the GC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as unique biennial UBC event</w:t>
            </w:r>
          </w:p>
          <w:p w:rsidR="009D0B7D" w:rsidRPr="00171B5A" w:rsidRDefault="009D0B7D" w:rsidP="00C6109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D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>own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size the GC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to an 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>add on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</w:t>
            </w:r>
            <w:r w:rsidR="004A7152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event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(back-to-back) taking place every two years duri</w:t>
            </w:r>
            <w:r w:rsidR="004A7152" w:rsidRPr="00171B5A">
              <w:rPr>
                <w:rFonts w:ascii="Arial" w:hAnsi="Arial" w:cs="Arial"/>
                <w:sz w:val="20"/>
                <w:szCs w:val="26"/>
                <w:lang w:val="en-GB"/>
              </w:rPr>
              <w:t>ng an annual Baltic Sea Region U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rban Forum</w:t>
            </w:r>
          </w:p>
          <w:p w:rsidR="009D0B7D" w:rsidRPr="00171B5A" w:rsidRDefault="009D0B7D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9D0B7D" w:rsidRPr="00171B5A" w:rsidRDefault="009D0B7D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With regard to the UBC budget and organisational efficiency it is recommended to favour possibility b).</w:t>
            </w:r>
          </w:p>
          <w:p w:rsidR="000D6DCE" w:rsidRPr="00171B5A" w:rsidRDefault="000D6DC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4549A3" w:rsidRPr="00171B5A" w:rsidRDefault="009D0B7D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Further, it should be considered to expand the c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>o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-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>operation with UN HABITA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T (attracting international guests</w:t>
            </w:r>
            <w:r w:rsidR="004A7152" w:rsidRPr="00171B5A">
              <w:rPr>
                <w:rFonts w:ascii="Arial" w:hAnsi="Arial" w:cs="Arial"/>
                <w:sz w:val="20"/>
                <w:szCs w:val="26"/>
                <w:lang w:val="en-GB"/>
              </w:rPr>
              <w:t>/speakers and promoting the UBC as blueprint for other regions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)</w:t>
            </w:r>
            <w:r w:rsidR="000D6DCE" w:rsidRPr="00171B5A">
              <w:rPr>
                <w:rFonts w:ascii="Arial" w:hAnsi="Arial" w:cs="Arial"/>
                <w:sz w:val="20"/>
                <w:szCs w:val="26"/>
                <w:lang w:val="en-GB"/>
              </w:rPr>
              <w:t>.</w:t>
            </w:r>
          </w:p>
        </w:tc>
      </w:tr>
      <w:tr w:rsidR="00BD48C4">
        <w:trPr>
          <w:trHeight w:val="719"/>
        </w:trPr>
        <w:tc>
          <w:tcPr>
            <w:tcW w:w="3369" w:type="dxa"/>
          </w:tcPr>
          <w:p w:rsidR="00BD48C4" w:rsidRPr="00171B5A" w:rsidRDefault="00BD48C4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Election procedures</w:t>
            </w:r>
          </w:p>
        </w:tc>
        <w:tc>
          <w:tcPr>
            <w:tcW w:w="5837" w:type="dxa"/>
          </w:tcPr>
          <w:p w:rsidR="004C253F" w:rsidRPr="00171B5A" w:rsidRDefault="004C253F" w:rsidP="004C253F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task force’s recommendations and proposals should be supported. </w:t>
            </w:r>
          </w:p>
          <w:p w:rsidR="00BD48C4" w:rsidRPr="00171B5A" w:rsidRDefault="00BD48C4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</w:tc>
      </w:tr>
      <w:tr w:rsidR="00A02453">
        <w:trPr>
          <w:trHeight w:val="701"/>
        </w:trPr>
        <w:tc>
          <w:tcPr>
            <w:tcW w:w="3369" w:type="dxa"/>
          </w:tcPr>
          <w:p w:rsidR="00A02453" w:rsidRPr="00171B5A" w:rsidRDefault="00C11D92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Vision and objectives of the organization</w:t>
            </w:r>
          </w:p>
        </w:tc>
        <w:tc>
          <w:tcPr>
            <w:tcW w:w="5837" w:type="dxa"/>
          </w:tcPr>
          <w:p w:rsidR="00C11D92" w:rsidRPr="00171B5A" w:rsidRDefault="00C11D92" w:rsidP="00C11D92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task force’s recommendations and proposals should be supported. </w:t>
            </w:r>
          </w:p>
          <w:p w:rsidR="00A02453" w:rsidRPr="00171B5A" w:rsidRDefault="00A02453" w:rsidP="004C253F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</w:tc>
      </w:tr>
      <w:tr w:rsidR="00595679">
        <w:trPr>
          <w:trHeight w:val="1299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595679" w:rsidRPr="00171B5A" w:rsidRDefault="00595679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UBC Communication</w:t>
            </w:r>
          </w:p>
        </w:tc>
        <w:tc>
          <w:tcPr>
            <w:tcW w:w="5837" w:type="dxa"/>
            <w:tcBorders>
              <w:bottom w:val="single" w:sz="4" w:space="0" w:color="000000" w:themeColor="text1"/>
            </w:tcBorders>
          </w:tcPr>
          <w:p w:rsidR="00C97F48" w:rsidRPr="00171B5A" w:rsidRDefault="00595679" w:rsidP="00595679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The task force’s recommendations and proposals should be supported. </w:t>
            </w:r>
          </w:p>
          <w:p w:rsidR="00C97F48" w:rsidRPr="00171B5A" w:rsidRDefault="00C97F48" w:rsidP="00595679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595679" w:rsidRPr="00171B5A" w:rsidRDefault="00C97F48" w:rsidP="00C11D92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However, deviating from the common perception as stated in the </w:t>
            </w:r>
            <w:r w:rsidRPr="00171B5A">
              <w:rPr>
                <w:rFonts w:ascii="Arial" w:hAnsi="Arial" w:cs="Arial"/>
                <w:i/>
                <w:sz w:val="20"/>
                <w:szCs w:val="26"/>
                <w:lang w:val="en-GB"/>
              </w:rPr>
              <w:t>UBC Communication Strategy Fig. 11, p. 23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, tools and activities should be </w:t>
            </w:r>
            <w:r w:rsidR="002D71E5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also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used to strengthen UBC roots in local urban society</w:t>
            </w:r>
            <w:r w:rsidR="00930D66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and local media in</w:t>
            </w:r>
            <w:r w:rsidR="002D71E5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addition to communication </w:t>
            </w:r>
            <w:r w:rsidR="00930D66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with UBC members and EU institutions. </w:t>
            </w:r>
          </w:p>
        </w:tc>
      </w:tr>
    </w:tbl>
    <w:p w:rsidR="003B4BA7" w:rsidRPr="00063B36" w:rsidRDefault="00595679" w:rsidP="00C6109E">
      <w:pPr>
        <w:rPr>
          <w:rFonts w:ascii="Arial" w:hAnsi="Arial" w:cs="Arial"/>
          <w:i/>
          <w:sz w:val="22"/>
          <w:szCs w:val="26"/>
          <w:lang w:val="en-GB"/>
        </w:rPr>
      </w:pPr>
      <w:r>
        <w:rPr>
          <w:rFonts w:ascii="Arial" w:hAnsi="Arial" w:cs="Arial"/>
          <w:i/>
          <w:szCs w:val="26"/>
          <w:lang w:val="en-GB"/>
        </w:rPr>
        <w:br w:type="page"/>
      </w:r>
    </w:p>
    <w:p w:rsidR="003B4BA7" w:rsidRPr="00063B36" w:rsidRDefault="003B4BA7" w:rsidP="00C6109E">
      <w:pPr>
        <w:rPr>
          <w:rFonts w:ascii="Arial" w:hAnsi="Arial" w:cs="Arial"/>
          <w:i/>
          <w:sz w:val="22"/>
          <w:szCs w:val="26"/>
          <w:lang w:val="en-GB"/>
        </w:rPr>
      </w:pPr>
      <w:r w:rsidRPr="00063B36">
        <w:rPr>
          <w:rFonts w:ascii="Arial" w:hAnsi="Arial" w:cs="Arial"/>
          <w:i/>
          <w:sz w:val="22"/>
          <w:szCs w:val="26"/>
          <w:lang w:val="en-GB"/>
        </w:rPr>
        <w:t>2. Recommendations for changes in UBC Statute</w:t>
      </w:r>
    </w:p>
    <w:p w:rsidR="003B4BA7" w:rsidRDefault="003B4BA7" w:rsidP="00C6109E">
      <w:pPr>
        <w:rPr>
          <w:rFonts w:ascii="Arial" w:hAnsi="Arial" w:cs="Arial"/>
          <w:i/>
          <w:szCs w:val="26"/>
          <w:lang w:val="en-GB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69"/>
        <w:gridCol w:w="5837"/>
      </w:tblGrid>
      <w:tr w:rsidR="00876855">
        <w:tc>
          <w:tcPr>
            <w:tcW w:w="3369" w:type="dxa"/>
          </w:tcPr>
          <w:p w:rsidR="00876855" w:rsidRPr="002E18AE" w:rsidRDefault="00876855" w:rsidP="00C6109E">
            <w:pPr>
              <w:rPr>
                <w:rFonts w:ascii="Arial" w:hAnsi="Arial" w:cs="Arial"/>
                <w:b/>
                <w:sz w:val="20"/>
                <w:szCs w:val="26"/>
                <w:lang w:val="en-GB"/>
              </w:rPr>
            </w:pPr>
            <w:r w:rsidRPr="002E18AE">
              <w:rPr>
                <w:rFonts w:ascii="Arial" w:hAnsi="Arial" w:cs="Arial"/>
                <w:b/>
                <w:sz w:val="20"/>
                <w:szCs w:val="26"/>
                <w:lang w:val="en-GB"/>
              </w:rPr>
              <w:t>Topic</w:t>
            </w:r>
          </w:p>
        </w:tc>
        <w:tc>
          <w:tcPr>
            <w:tcW w:w="5837" w:type="dxa"/>
          </w:tcPr>
          <w:p w:rsidR="00876855" w:rsidRPr="002E18AE" w:rsidRDefault="00171B5A" w:rsidP="00C6109E">
            <w:pPr>
              <w:rPr>
                <w:rFonts w:ascii="Arial" w:hAnsi="Arial" w:cs="Arial"/>
                <w:b/>
                <w:sz w:val="20"/>
                <w:szCs w:val="26"/>
                <w:lang w:val="en-GB"/>
              </w:rPr>
            </w:pPr>
            <w:r w:rsidRPr="002E18AE">
              <w:rPr>
                <w:rFonts w:ascii="Arial" w:hAnsi="Arial" w:cs="Arial"/>
                <w:b/>
                <w:sz w:val="20"/>
                <w:szCs w:val="26"/>
                <w:lang w:val="en-GB"/>
              </w:rPr>
              <w:t>Amendments/Recommendations</w:t>
            </w:r>
          </w:p>
        </w:tc>
      </w:tr>
      <w:tr w:rsidR="00876855">
        <w:tc>
          <w:tcPr>
            <w:tcW w:w="3369" w:type="dxa"/>
          </w:tcPr>
          <w:p w:rsidR="00876855" w:rsidRPr="002E18AE" w:rsidRDefault="00876855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2E18AE">
              <w:rPr>
                <w:rFonts w:ascii="Arial" w:hAnsi="Arial" w:cs="Arial"/>
                <w:sz w:val="20"/>
                <w:szCs w:val="26"/>
                <w:lang w:val="en-GB"/>
              </w:rPr>
              <w:t>Article 1.4.</w:t>
            </w:r>
          </w:p>
        </w:tc>
        <w:tc>
          <w:tcPr>
            <w:tcW w:w="5837" w:type="dxa"/>
          </w:tcPr>
          <w:p w:rsidR="00876855" w:rsidRPr="002E18AE" w:rsidRDefault="00876855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2E18AE">
              <w:rPr>
                <w:rFonts w:ascii="Arial" w:hAnsi="Arial" w:cs="Arial"/>
                <w:sz w:val="20"/>
                <w:szCs w:val="26"/>
                <w:lang w:val="en-GB"/>
              </w:rPr>
              <w:t xml:space="preserve">New: </w:t>
            </w:r>
            <w:r w:rsidRPr="002E18AE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“Strive to achieve </w:t>
            </w:r>
            <w:r w:rsidRPr="002E18AE">
              <w:rPr>
                <w:rFonts w:ascii="Arial" w:hAnsi="Arial" w:cs="Arial"/>
                <w:i/>
                <w:sz w:val="20"/>
                <w:szCs w:val="26"/>
                <w:u w:val="single"/>
                <w:lang w:val="en-GB"/>
              </w:rPr>
              <w:t>resource efficiency</w:t>
            </w:r>
            <w:r w:rsidRPr="002E18AE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 and optimal…</w:t>
            </w:r>
            <w:r w:rsidR="00BC485F" w:rsidRPr="002E18AE">
              <w:rPr>
                <w:rFonts w:ascii="Arial" w:hAnsi="Arial" w:cs="Arial"/>
                <w:i/>
                <w:sz w:val="20"/>
                <w:szCs w:val="26"/>
                <w:lang w:val="en-GB"/>
              </w:rPr>
              <w:t>”</w:t>
            </w:r>
          </w:p>
        </w:tc>
      </w:tr>
      <w:tr w:rsidR="00876855">
        <w:tc>
          <w:tcPr>
            <w:tcW w:w="3369" w:type="dxa"/>
          </w:tcPr>
          <w:p w:rsidR="00876855" w:rsidRPr="002E18AE" w:rsidRDefault="00876855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2E18AE">
              <w:rPr>
                <w:rFonts w:ascii="Arial" w:hAnsi="Arial" w:cs="Arial"/>
                <w:sz w:val="20"/>
                <w:szCs w:val="26"/>
                <w:lang w:val="en-GB"/>
              </w:rPr>
              <w:t>Article 3</w:t>
            </w:r>
          </w:p>
        </w:tc>
        <w:tc>
          <w:tcPr>
            <w:tcW w:w="5837" w:type="dxa"/>
          </w:tcPr>
          <w:p w:rsidR="00876855" w:rsidRPr="002E18AE" w:rsidRDefault="002E18AE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2E18AE">
              <w:rPr>
                <w:rFonts w:ascii="Arial" w:hAnsi="Arial" w:cs="Arial"/>
                <w:sz w:val="20"/>
                <w:szCs w:val="26"/>
                <w:lang w:val="en-GB"/>
              </w:rPr>
              <w:t>Belarus: observer status</w:t>
            </w:r>
          </w:p>
        </w:tc>
      </w:tr>
      <w:tr w:rsidR="003F57D2">
        <w:tc>
          <w:tcPr>
            <w:tcW w:w="3369" w:type="dxa"/>
          </w:tcPr>
          <w:p w:rsidR="003F57D2" w:rsidRPr="00171B5A" w:rsidRDefault="00FA21E1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Article 5</w:t>
            </w:r>
            <w:r w:rsidR="009B4F79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(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Point 2</w:t>
            </w:r>
            <w:r w:rsidR="009B4F79" w:rsidRPr="00171B5A">
              <w:rPr>
                <w:rFonts w:ascii="Arial" w:hAnsi="Arial" w:cs="Arial"/>
                <w:sz w:val="20"/>
                <w:szCs w:val="26"/>
                <w:lang w:val="en-GB"/>
              </w:rPr>
              <w:t>)</w:t>
            </w:r>
          </w:p>
        </w:tc>
        <w:tc>
          <w:tcPr>
            <w:tcW w:w="5837" w:type="dxa"/>
          </w:tcPr>
          <w:p w:rsidR="00BC485F" w:rsidRPr="00171B5A" w:rsidRDefault="00FA21E1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With regard to organisational efficiency and clear </w:t>
            </w:r>
            <w:r w:rsidR="00BC485F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distribution of </w:t>
            </w: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responsibilities</w:t>
            </w:r>
            <w:r w:rsidR="00BD41EF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a</w:t>
            </w:r>
            <w:r w:rsidR="00BC485F" w:rsidRPr="00171B5A">
              <w:rPr>
                <w:rFonts w:ascii="Arial" w:hAnsi="Arial" w:cs="Arial"/>
                <w:sz w:val="20"/>
                <w:szCs w:val="26"/>
                <w:lang w:val="en-GB"/>
              </w:rPr>
              <w:t xml:space="preserve"> troika system should not be established.</w:t>
            </w:r>
          </w:p>
          <w:p w:rsidR="00BC485F" w:rsidRPr="00171B5A" w:rsidRDefault="00BC485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3F57D2" w:rsidRPr="00171B5A" w:rsidRDefault="00BC485F" w:rsidP="00C6109E">
            <w:pPr>
              <w:rPr>
                <w:rFonts w:ascii="Arial" w:hAnsi="Arial" w:cs="Arial"/>
                <w:sz w:val="20"/>
                <w:szCs w:val="26"/>
                <w:highlight w:val="yellow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The President and Vice-President should be elected for a maximum of three consecutive periods to ensure a dynamic development of the UBC.</w:t>
            </w:r>
          </w:p>
        </w:tc>
      </w:tr>
      <w:tr w:rsidR="00BC485F">
        <w:tc>
          <w:tcPr>
            <w:tcW w:w="3369" w:type="dxa"/>
          </w:tcPr>
          <w:p w:rsidR="00BC485F" w:rsidRPr="00171B5A" w:rsidRDefault="00BC485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Article 9</w:t>
            </w:r>
          </w:p>
        </w:tc>
        <w:tc>
          <w:tcPr>
            <w:tcW w:w="5837" w:type="dxa"/>
          </w:tcPr>
          <w:p w:rsidR="00BC485F" w:rsidRPr="00171B5A" w:rsidRDefault="00BC485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171B5A">
              <w:rPr>
                <w:rFonts w:ascii="Arial" w:hAnsi="Arial" w:cs="Arial"/>
                <w:sz w:val="20"/>
                <w:szCs w:val="26"/>
                <w:lang w:val="en-GB"/>
              </w:rPr>
              <w:t>New: “The President of the Union is the external representative of the Union”</w:t>
            </w:r>
          </w:p>
          <w:p w:rsidR="00BC485F" w:rsidRPr="00171B5A" w:rsidRDefault="00BC485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BC485F" w:rsidRPr="00171B5A" w:rsidRDefault="00BC485F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</w:tc>
      </w:tr>
    </w:tbl>
    <w:p w:rsidR="00876855" w:rsidRPr="00171B5A" w:rsidRDefault="00876855" w:rsidP="00C6109E">
      <w:pPr>
        <w:rPr>
          <w:rFonts w:ascii="Arial" w:hAnsi="Arial" w:cs="Arial"/>
          <w:i/>
          <w:sz w:val="22"/>
          <w:szCs w:val="26"/>
          <w:lang w:val="en-GB"/>
        </w:rPr>
      </w:pPr>
    </w:p>
    <w:p w:rsidR="009B4F79" w:rsidRPr="00171B5A" w:rsidRDefault="003B4BA7" w:rsidP="00C6109E">
      <w:pPr>
        <w:rPr>
          <w:rFonts w:ascii="Arial" w:hAnsi="Arial" w:cs="Arial"/>
          <w:i/>
          <w:sz w:val="22"/>
          <w:szCs w:val="26"/>
          <w:lang w:val="en-GB"/>
        </w:rPr>
      </w:pPr>
      <w:r w:rsidRPr="00171B5A">
        <w:rPr>
          <w:rFonts w:ascii="Arial" w:hAnsi="Arial" w:cs="Arial"/>
          <w:i/>
          <w:sz w:val="22"/>
          <w:szCs w:val="26"/>
          <w:lang w:val="en-GB"/>
        </w:rPr>
        <w:t>3. Recommendations for changes in UBC Internal Regulation</w:t>
      </w:r>
    </w:p>
    <w:p w:rsidR="009B4F79" w:rsidRDefault="009B4F79" w:rsidP="00C6109E">
      <w:pPr>
        <w:rPr>
          <w:rFonts w:ascii="Arial" w:hAnsi="Arial" w:cs="Arial"/>
          <w:i/>
          <w:szCs w:val="26"/>
          <w:lang w:val="en-GB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69"/>
        <w:gridCol w:w="5837"/>
      </w:tblGrid>
      <w:tr w:rsidR="009B4F79">
        <w:tc>
          <w:tcPr>
            <w:tcW w:w="3369" w:type="dxa"/>
          </w:tcPr>
          <w:p w:rsidR="009B4F79" w:rsidRPr="00EC0445" w:rsidRDefault="009B4F79" w:rsidP="00C6109E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EC0445">
              <w:rPr>
                <w:rFonts w:ascii="Arial" w:hAnsi="Arial" w:cs="Arial"/>
                <w:sz w:val="20"/>
                <w:szCs w:val="26"/>
                <w:lang w:val="en-GB"/>
              </w:rPr>
              <w:t>Point 2.4.</w:t>
            </w:r>
          </w:p>
        </w:tc>
        <w:tc>
          <w:tcPr>
            <w:tcW w:w="5837" w:type="dxa"/>
          </w:tcPr>
          <w:p w:rsidR="009B4F79" w:rsidRPr="00EC0445" w:rsidRDefault="009B4F79" w:rsidP="009B4F79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EC0445">
              <w:rPr>
                <w:rFonts w:ascii="Arial" w:hAnsi="Arial" w:cs="Arial"/>
                <w:sz w:val="20"/>
                <w:szCs w:val="26"/>
                <w:lang w:val="en-GB"/>
              </w:rPr>
              <w:t xml:space="preserve">New: </w:t>
            </w:r>
            <w:r w:rsidRPr="00EC0445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“The Executive Board may nominate an ad hoc UBC Commission after application from at least </w:t>
            </w:r>
            <w:r w:rsidRPr="00EC0445">
              <w:rPr>
                <w:rFonts w:ascii="Arial" w:hAnsi="Arial" w:cs="Arial"/>
                <w:i/>
                <w:sz w:val="20"/>
                <w:szCs w:val="26"/>
                <w:u w:val="single"/>
                <w:lang w:val="en-GB"/>
              </w:rPr>
              <w:t>six</w:t>
            </w:r>
            <w:r w:rsidRPr="00EC0445">
              <w:rPr>
                <w:rFonts w:ascii="Arial" w:hAnsi="Arial" w:cs="Arial"/>
                <w:i/>
                <w:sz w:val="20"/>
                <w:szCs w:val="26"/>
                <w:lang w:val="en-GB"/>
              </w:rPr>
              <w:t xml:space="preserve"> Member Cities…”</w:t>
            </w:r>
          </w:p>
          <w:p w:rsidR="009B4F79" w:rsidRPr="00EC0445" w:rsidRDefault="009B4F79" w:rsidP="009B4F79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</w:p>
          <w:p w:rsidR="009B4F79" w:rsidRPr="00EC0445" w:rsidRDefault="009B4F79" w:rsidP="009B4F79">
            <w:pPr>
              <w:rPr>
                <w:rFonts w:ascii="Arial" w:hAnsi="Arial" w:cs="Arial"/>
                <w:sz w:val="20"/>
                <w:szCs w:val="26"/>
                <w:lang w:val="en-GB"/>
              </w:rPr>
            </w:pPr>
            <w:r w:rsidRPr="00EC0445">
              <w:rPr>
                <w:rFonts w:ascii="Arial" w:hAnsi="Arial" w:cs="Arial"/>
                <w:sz w:val="20"/>
                <w:szCs w:val="26"/>
                <w:lang w:val="en-GB"/>
              </w:rPr>
              <w:t>With regard to the task forces suggestion to merge or reduce the number of Commissions a threshold of only three Member Cities to</w:t>
            </w:r>
            <w:r w:rsidR="00EC0445" w:rsidRPr="00EC0445">
              <w:rPr>
                <w:rFonts w:ascii="Arial" w:hAnsi="Arial" w:cs="Arial"/>
                <w:sz w:val="20"/>
                <w:szCs w:val="26"/>
                <w:lang w:val="en-GB"/>
              </w:rPr>
              <w:t xml:space="preserve"> nominate an ad hoc UBC Commission</w:t>
            </w:r>
            <w:r w:rsidRPr="00EC0445">
              <w:rPr>
                <w:rFonts w:ascii="Arial" w:hAnsi="Arial" w:cs="Arial"/>
                <w:sz w:val="20"/>
                <w:szCs w:val="26"/>
                <w:lang w:val="en-GB"/>
              </w:rPr>
              <w:t xml:space="preserve"> is </w:t>
            </w:r>
            <w:proofErr w:type="spellStart"/>
            <w:r w:rsidRPr="00EC0445">
              <w:rPr>
                <w:rFonts w:ascii="Arial" w:hAnsi="Arial" w:cs="Arial"/>
                <w:sz w:val="20"/>
                <w:szCs w:val="26"/>
                <w:lang w:val="en-GB"/>
              </w:rPr>
              <w:t>to</w:t>
            </w:r>
            <w:proofErr w:type="spellEnd"/>
            <w:r w:rsidRPr="00EC0445">
              <w:rPr>
                <w:rFonts w:ascii="Arial" w:hAnsi="Arial" w:cs="Arial"/>
                <w:sz w:val="20"/>
                <w:szCs w:val="26"/>
                <w:lang w:val="en-GB"/>
              </w:rPr>
              <w:t xml:space="preserve"> low.</w:t>
            </w:r>
          </w:p>
        </w:tc>
      </w:tr>
    </w:tbl>
    <w:p w:rsidR="006F31F4" w:rsidRPr="00AF6698" w:rsidRDefault="006F31F4" w:rsidP="00C6109E">
      <w:pPr>
        <w:rPr>
          <w:rFonts w:ascii="Arial" w:hAnsi="Arial" w:cs="Arial"/>
          <w:b/>
          <w:szCs w:val="26"/>
          <w:lang w:val="en-GB"/>
        </w:rPr>
      </w:pPr>
    </w:p>
    <w:p w:rsidR="00171B5A" w:rsidRDefault="00171B5A" w:rsidP="00C6109E">
      <w:pPr>
        <w:rPr>
          <w:rFonts w:ascii="Arial" w:hAnsi="Arial" w:cs="Arial"/>
          <w:b/>
          <w:sz w:val="22"/>
          <w:szCs w:val="26"/>
          <w:lang w:val="en-GB"/>
        </w:rPr>
      </w:pPr>
    </w:p>
    <w:p w:rsidR="005D6287" w:rsidRPr="00171B5A" w:rsidRDefault="00975B75" w:rsidP="00C6109E">
      <w:pPr>
        <w:rPr>
          <w:rFonts w:ascii="Arial" w:hAnsi="Arial" w:cs="Arial"/>
          <w:b/>
          <w:sz w:val="22"/>
          <w:szCs w:val="26"/>
          <w:lang w:val="en-GB"/>
        </w:rPr>
      </w:pPr>
      <w:r w:rsidRPr="00171B5A">
        <w:rPr>
          <w:rFonts w:ascii="Arial" w:hAnsi="Arial" w:cs="Arial"/>
          <w:b/>
          <w:sz w:val="22"/>
          <w:szCs w:val="26"/>
          <w:lang w:val="en-GB"/>
        </w:rPr>
        <w:t>III</w:t>
      </w:r>
      <w:r w:rsidR="0082241B" w:rsidRPr="00171B5A">
        <w:rPr>
          <w:rFonts w:ascii="Arial" w:hAnsi="Arial" w:cs="Arial"/>
          <w:b/>
          <w:sz w:val="22"/>
          <w:szCs w:val="26"/>
          <w:lang w:val="en-GB"/>
        </w:rPr>
        <w:t xml:space="preserve">. </w:t>
      </w:r>
      <w:r w:rsidR="00DA757D" w:rsidRPr="00171B5A">
        <w:rPr>
          <w:rFonts w:ascii="Arial" w:hAnsi="Arial" w:cs="Arial"/>
          <w:b/>
          <w:sz w:val="22"/>
          <w:szCs w:val="26"/>
          <w:lang w:val="en-GB"/>
        </w:rPr>
        <w:t>Conclusion</w:t>
      </w:r>
    </w:p>
    <w:p w:rsidR="00B05ED4" w:rsidRPr="00171B5A" w:rsidRDefault="00B05ED4" w:rsidP="00C6109E">
      <w:pPr>
        <w:rPr>
          <w:rFonts w:ascii="Arial" w:hAnsi="Arial" w:cs="Arial"/>
          <w:b/>
          <w:sz w:val="22"/>
          <w:szCs w:val="26"/>
          <w:lang w:val="en-GB"/>
        </w:rPr>
      </w:pPr>
    </w:p>
    <w:p w:rsidR="00B05ED4" w:rsidRPr="00171B5A" w:rsidRDefault="00B05ED4" w:rsidP="00C6109E">
      <w:pPr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 xml:space="preserve">Experiences from </w:t>
      </w:r>
      <w:proofErr w:type="spellStart"/>
      <w:r w:rsidRPr="00171B5A">
        <w:rPr>
          <w:rFonts w:ascii="Arial" w:hAnsi="Arial" w:cs="Arial"/>
          <w:sz w:val="22"/>
          <w:szCs w:val="26"/>
          <w:lang w:val="en-GB"/>
        </w:rPr>
        <w:t>ongoing</w:t>
      </w:r>
      <w:proofErr w:type="spellEnd"/>
      <w:r w:rsidR="00206763" w:rsidRPr="00171B5A">
        <w:rPr>
          <w:rFonts w:ascii="Arial" w:hAnsi="Arial" w:cs="Arial"/>
          <w:sz w:val="22"/>
          <w:szCs w:val="26"/>
          <w:lang w:val="en-GB"/>
        </w:rPr>
        <w:t xml:space="preserve"> research and project work show</w:t>
      </w:r>
      <w:r w:rsidRPr="00171B5A">
        <w:rPr>
          <w:rFonts w:ascii="Arial" w:hAnsi="Arial" w:cs="Arial"/>
          <w:sz w:val="22"/>
          <w:szCs w:val="26"/>
          <w:lang w:val="en-GB"/>
        </w:rPr>
        <w:t xml:space="preserve"> that three main trends can be identified with regard to the development of Baltic Sea Region organisations:</w:t>
      </w:r>
    </w:p>
    <w:p w:rsidR="00B05ED4" w:rsidRPr="00171B5A" w:rsidRDefault="00B05ED4" w:rsidP="00C6109E">
      <w:pPr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 xml:space="preserve"> </w:t>
      </w:r>
    </w:p>
    <w:p w:rsidR="007D781B" w:rsidRPr="00171B5A" w:rsidRDefault="002D71E5" w:rsidP="00C6109E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>A t</w:t>
      </w:r>
      <w:r w:rsidR="00B05ED4" w:rsidRPr="00171B5A">
        <w:rPr>
          <w:rFonts w:ascii="Arial" w:hAnsi="Arial" w:cs="Arial"/>
          <w:sz w:val="22"/>
          <w:szCs w:val="26"/>
          <w:lang w:val="en-GB"/>
        </w:rPr>
        <w:t>rend to intensify cooperation between Baltic Sea Region organisations</w:t>
      </w:r>
    </w:p>
    <w:p w:rsidR="0044381B" w:rsidRPr="00171B5A" w:rsidRDefault="0044381B" w:rsidP="007D781B">
      <w:pPr>
        <w:pStyle w:val="Listenabsatz"/>
        <w:rPr>
          <w:rFonts w:ascii="Arial" w:hAnsi="Arial" w:cs="Arial"/>
          <w:sz w:val="22"/>
          <w:szCs w:val="26"/>
          <w:lang w:val="en-GB"/>
        </w:rPr>
      </w:pPr>
    </w:p>
    <w:p w:rsidR="007D781B" w:rsidRPr="00171B5A" w:rsidRDefault="002D71E5" w:rsidP="00C6109E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/>
          <w:sz w:val="22"/>
          <w:lang w:val="en-GB"/>
        </w:rPr>
        <w:t>A t</w:t>
      </w:r>
      <w:r w:rsidR="00B05ED4" w:rsidRPr="00171B5A">
        <w:rPr>
          <w:rFonts w:ascii="Arial" w:hAnsi="Arial"/>
          <w:sz w:val="22"/>
          <w:lang w:val="en-GB"/>
        </w:rPr>
        <w:t xml:space="preserve">rend for </w:t>
      </w:r>
      <w:r w:rsidR="0044381B" w:rsidRPr="00171B5A">
        <w:rPr>
          <w:rFonts w:ascii="Arial" w:hAnsi="Arial"/>
          <w:sz w:val="22"/>
          <w:lang w:val="en-GB"/>
        </w:rPr>
        <w:t xml:space="preserve">organisational/structural consolidation and improvement of </w:t>
      </w:r>
      <w:r w:rsidRPr="00171B5A">
        <w:rPr>
          <w:rFonts w:ascii="Arial" w:hAnsi="Arial"/>
          <w:sz w:val="22"/>
          <w:lang w:val="en-GB"/>
        </w:rPr>
        <w:t>i</w:t>
      </w:r>
      <w:r w:rsidR="00A64560" w:rsidRPr="00171B5A">
        <w:rPr>
          <w:rFonts w:ascii="Arial" w:hAnsi="Arial"/>
          <w:sz w:val="22"/>
          <w:lang w:val="en-GB"/>
        </w:rPr>
        <w:t>nternal communication and proce</w:t>
      </w:r>
      <w:r w:rsidRPr="00171B5A">
        <w:rPr>
          <w:rFonts w:ascii="Arial" w:hAnsi="Arial"/>
          <w:sz w:val="22"/>
          <w:lang w:val="en-GB"/>
        </w:rPr>
        <w:t>dures</w:t>
      </w:r>
    </w:p>
    <w:p w:rsidR="0044381B" w:rsidRPr="00171B5A" w:rsidRDefault="0044381B" w:rsidP="007D781B">
      <w:pPr>
        <w:rPr>
          <w:rFonts w:ascii="Arial" w:hAnsi="Arial" w:cs="Arial"/>
          <w:sz w:val="22"/>
          <w:szCs w:val="26"/>
          <w:lang w:val="en-GB"/>
        </w:rPr>
      </w:pPr>
    </w:p>
    <w:p w:rsidR="00B05ED4" w:rsidRPr="00171B5A" w:rsidRDefault="002D71E5" w:rsidP="00C6109E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/>
          <w:sz w:val="22"/>
          <w:lang w:val="en-GB"/>
        </w:rPr>
        <w:t>A t</w:t>
      </w:r>
      <w:r w:rsidR="0044381B" w:rsidRPr="00171B5A">
        <w:rPr>
          <w:rFonts w:ascii="Arial" w:hAnsi="Arial"/>
          <w:sz w:val="22"/>
          <w:lang w:val="en-GB"/>
        </w:rPr>
        <w:t xml:space="preserve">rend to improve external communication (marketing, public relations, public affairs) and application </w:t>
      </w:r>
      <w:r w:rsidR="00C95C9A" w:rsidRPr="00171B5A">
        <w:rPr>
          <w:rFonts w:ascii="Arial" w:hAnsi="Arial"/>
          <w:sz w:val="22"/>
          <w:lang w:val="en-GB"/>
        </w:rPr>
        <w:t>management for external funding.</w:t>
      </w:r>
    </w:p>
    <w:p w:rsidR="00A34341" w:rsidRPr="00171B5A" w:rsidRDefault="00A34341" w:rsidP="00C6109E">
      <w:pPr>
        <w:rPr>
          <w:rFonts w:ascii="Arial" w:hAnsi="Arial" w:cs="Arial"/>
          <w:b/>
          <w:sz w:val="22"/>
          <w:szCs w:val="26"/>
          <w:lang w:val="en-GB"/>
        </w:rPr>
      </w:pPr>
    </w:p>
    <w:p w:rsidR="00CA60AC" w:rsidRPr="00171B5A" w:rsidRDefault="009D27C4" w:rsidP="00966888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The UBC in this regard is no exception. As in other BSR organisations, </w:t>
      </w:r>
      <w:r w:rsidR="00CA60AC" w:rsidRPr="00171B5A">
        <w:rPr>
          <w:rFonts w:ascii="Arial" w:hAnsi="Arial"/>
          <w:sz w:val="22"/>
          <w:lang w:val="en-GB"/>
        </w:rPr>
        <w:t xml:space="preserve">UBC activities are dependent on </w:t>
      </w:r>
      <w:r w:rsidR="008A4782" w:rsidRPr="00171B5A">
        <w:rPr>
          <w:rFonts w:ascii="Arial" w:hAnsi="Arial"/>
          <w:sz w:val="22"/>
          <w:lang w:val="en-GB"/>
        </w:rPr>
        <w:t>the time budge</w:t>
      </w:r>
      <w:r>
        <w:rPr>
          <w:rFonts w:ascii="Arial" w:hAnsi="Arial"/>
          <w:sz w:val="22"/>
          <w:lang w:val="en-GB"/>
        </w:rPr>
        <w:t>t and financial support of its m</w:t>
      </w:r>
      <w:r w:rsidR="008A4782" w:rsidRPr="00171B5A">
        <w:rPr>
          <w:rFonts w:ascii="Arial" w:hAnsi="Arial"/>
          <w:sz w:val="22"/>
          <w:lang w:val="en-GB"/>
        </w:rPr>
        <w:t>e</w:t>
      </w:r>
      <w:r>
        <w:rPr>
          <w:rFonts w:ascii="Arial" w:hAnsi="Arial"/>
          <w:sz w:val="22"/>
          <w:lang w:val="en-GB"/>
        </w:rPr>
        <w:t xml:space="preserve">mbers. </w:t>
      </w:r>
      <w:proofErr w:type="gramStart"/>
      <w:r w:rsidR="00CA60AC" w:rsidRPr="00171B5A">
        <w:rPr>
          <w:rFonts w:ascii="Arial" w:hAnsi="Arial"/>
          <w:sz w:val="22"/>
          <w:lang w:val="en-GB"/>
        </w:rPr>
        <w:t>This demands</w:t>
      </w:r>
      <w:proofErr w:type="gramEnd"/>
      <w:r w:rsidR="00CA60AC" w:rsidRPr="00171B5A">
        <w:rPr>
          <w:rFonts w:ascii="Arial" w:hAnsi="Arial"/>
          <w:sz w:val="22"/>
          <w:lang w:val="en-GB"/>
        </w:rPr>
        <w:t xml:space="preserve"> for efficient and focused actions. Key factors for the development of the UBC are: </w:t>
      </w:r>
    </w:p>
    <w:p w:rsidR="00CA60AC" w:rsidRPr="00171B5A" w:rsidRDefault="00CA60AC" w:rsidP="00966888">
      <w:pPr>
        <w:rPr>
          <w:rFonts w:ascii="Arial" w:hAnsi="Arial"/>
          <w:sz w:val="22"/>
          <w:lang w:val="en-GB"/>
        </w:rPr>
      </w:pPr>
    </w:p>
    <w:p w:rsidR="00CA60AC" w:rsidRPr="00171B5A" w:rsidRDefault="00CA60AC" w:rsidP="00CA60AC">
      <w:pPr>
        <w:pStyle w:val="Listenabsatz"/>
        <w:numPr>
          <w:ilvl w:val="0"/>
          <w:numId w:val="6"/>
        </w:numPr>
        <w:rPr>
          <w:rFonts w:ascii="Arial" w:hAnsi="Arial"/>
          <w:sz w:val="22"/>
          <w:lang w:val="en-GB"/>
        </w:rPr>
      </w:pPr>
      <w:r w:rsidRPr="00171B5A">
        <w:rPr>
          <w:rFonts w:ascii="Arial" w:hAnsi="Arial"/>
          <w:sz w:val="22"/>
          <w:lang w:val="en-GB"/>
        </w:rPr>
        <w:t>The improvement of UBC internal and external communication including improved application management for external funding</w:t>
      </w:r>
    </w:p>
    <w:p w:rsidR="00CA60AC" w:rsidRPr="00171B5A" w:rsidRDefault="00CA60AC" w:rsidP="00CA60AC">
      <w:pPr>
        <w:pStyle w:val="Listenabsatz"/>
        <w:rPr>
          <w:rFonts w:ascii="Arial" w:hAnsi="Arial"/>
          <w:sz w:val="22"/>
          <w:lang w:val="en-GB"/>
        </w:rPr>
      </w:pPr>
    </w:p>
    <w:p w:rsidR="00CA60AC" w:rsidRPr="00171B5A" w:rsidRDefault="00CA60AC" w:rsidP="00CA60AC">
      <w:pPr>
        <w:pStyle w:val="Listenabsatz"/>
        <w:numPr>
          <w:ilvl w:val="0"/>
          <w:numId w:val="6"/>
        </w:numPr>
        <w:rPr>
          <w:rFonts w:ascii="Arial" w:hAnsi="Arial"/>
          <w:sz w:val="22"/>
          <w:lang w:val="en-GB"/>
        </w:rPr>
      </w:pPr>
      <w:r w:rsidRPr="00171B5A">
        <w:rPr>
          <w:rFonts w:ascii="Arial" w:hAnsi="Arial"/>
          <w:sz w:val="22"/>
          <w:lang w:val="en-GB"/>
        </w:rPr>
        <w:t>An efficient commission structure through clustering and developing interfaces between Committees and all other UBC bodies.</w:t>
      </w:r>
    </w:p>
    <w:p w:rsidR="00CA60AC" w:rsidRPr="00171B5A" w:rsidRDefault="00CA60AC" w:rsidP="00CA60AC">
      <w:pPr>
        <w:rPr>
          <w:rFonts w:ascii="Arial" w:hAnsi="Arial"/>
          <w:sz w:val="22"/>
          <w:lang w:val="en-GB"/>
        </w:rPr>
      </w:pPr>
    </w:p>
    <w:p w:rsidR="00CA60AC" w:rsidRPr="00171B5A" w:rsidRDefault="00DA757D" w:rsidP="00CA60AC">
      <w:pPr>
        <w:pStyle w:val="Listenabsatz"/>
        <w:numPr>
          <w:ilvl w:val="0"/>
          <w:numId w:val="6"/>
        </w:numPr>
        <w:rPr>
          <w:rFonts w:ascii="Arial" w:hAnsi="Arial"/>
          <w:sz w:val="22"/>
          <w:lang w:val="en-GB"/>
        </w:rPr>
      </w:pPr>
      <w:r w:rsidRPr="00171B5A">
        <w:rPr>
          <w:rFonts w:ascii="Arial" w:hAnsi="Arial"/>
          <w:sz w:val="22"/>
          <w:lang w:val="en-GB"/>
        </w:rPr>
        <w:t>A fair</w:t>
      </w:r>
      <w:r w:rsidR="00CA60AC" w:rsidRPr="00171B5A">
        <w:rPr>
          <w:rFonts w:ascii="Arial" w:hAnsi="Arial"/>
          <w:sz w:val="22"/>
          <w:lang w:val="en-GB"/>
        </w:rPr>
        <w:t xml:space="preserve"> </w:t>
      </w:r>
      <w:r w:rsidRPr="00171B5A">
        <w:rPr>
          <w:rFonts w:ascii="Arial" w:hAnsi="Arial"/>
          <w:sz w:val="22"/>
          <w:lang w:val="en-GB"/>
        </w:rPr>
        <w:t xml:space="preserve">and politically sound distribution of tasks and </w:t>
      </w:r>
      <w:r w:rsidR="00CA60AC" w:rsidRPr="00171B5A">
        <w:rPr>
          <w:rFonts w:ascii="Arial" w:hAnsi="Arial"/>
          <w:sz w:val="22"/>
          <w:lang w:val="en-GB"/>
        </w:rPr>
        <w:t xml:space="preserve">responsibilities through elections and </w:t>
      </w:r>
      <w:r w:rsidRPr="00171B5A">
        <w:rPr>
          <w:rFonts w:ascii="Arial" w:hAnsi="Arial"/>
          <w:sz w:val="22"/>
          <w:lang w:val="en-GB"/>
        </w:rPr>
        <w:t xml:space="preserve">transparent </w:t>
      </w:r>
      <w:r w:rsidR="008638EE" w:rsidRPr="00171B5A">
        <w:rPr>
          <w:rFonts w:ascii="Arial" w:hAnsi="Arial"/>
          <w:sz w:val="22"/>
          <w:lang w:val="en-GB"/>
        </w:rPr>
        <w:t>decision-making processes</w:t>
      </w:r>
    </w:p>
    <w:p w:rsidR="00DA757D" w:rsidRPr="00171B5A" w:rsidRDefault="00DA757D" w:rsidP="00966888">
      <w:pPr>
        <w:rPr>
          <w:rFonts w:ascii="Arial" w:hAnsi="Arial"/>
          <w:sz w:val="22"/>
          <w:lang w:val="en-GB"/>
        </w:rPr>
      </w:pPr>
    </w:p>
    <w:p w:rsidR="00DA757D" w:rsidRPr="00171B5A" w:rsidRDefault="00DA757D" w:rsidP="00DA757D">
      <w:pPr>
        <w:pBdr>
          <w:bottom w:val="single" w:sz="6" w:space="1" w:color="auto"/>
        </w:pBdr>
        <w:rPr>
          <w:rFonts w:ascii="Arial" w:hAnsi="Arial" w:cs="Arial"/>
          <w:sz w:val="22"/>
          <w:szCs w:val="26"/>
          <w:lang w:val="en-GB"/>
        </w:rPr>
      </w:pPr>
      <w:r w:rsidRPr="00171B5A">
        <w:rPr>
          <w:rFonts w:ascii="Arial" w:hAnsi="Arial" w:cs="Arial"/>
          <w:sz w:val="22"/>
          <w:szCs w:val="26"/>
          <w:lang w:val="en-GB"/>
        </w:rPr>
        <w:t>The task force’s Final Report addresses all these aspects in a concise way. Taking the indicated amendments into consideration it should be supported in general.</w:t>
      </w:r>
    </w:p>
    <w:p w:rsidR="00A3618D" w:rsidRDefault="00A3618D" w:rsidP="00595679">
      <w:pPr>
        <w:rPr>
          <w:rFonts w:ascii="Arial" w:hAnsi="Arial"/>
          <w:sz w:val="22"/>
          <w:lang w:val="en-GB"/>
        </w:rPr>
      </w:pPr>
      <w:bookmarkStart w:id="0" w:name="_GoBack"/>
      <w:bookmarkEnd w:id="0"/>
    </w:p>
    <w:sectPr w:rsidR="00A3618D" w:rsidSect="00D06267">
      <w:footerReference w:type="even" r:id="rId8"/>
      <w:footerReference w:type="default" r:id="rId9"/>
      <w:pgSz w:w="11900" w:h="16840"/>
      <w:pgMar w:top="1417" w:right="1417" w:bottom="1134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93" w:rsidRDefault="00084FF4">
      <w:r>
        <w:separator/>
      </w:r>
    </w:p>
  </w:endnote>
  <w:endnote w:type="continuationSeparator" w:id="0">
    <w:p w:rsidR="009B7693" w:rsidRDefault="000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5A" w:rsidRDefault="000537CE" w:rsidP="00C610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71B5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1B5A" w:rsidRDefault="00171B5A" w:rsidP="00C610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5A" w:rsidRPr="00C6109E" w:rsidRDefault="000537CE" w:rsidP="00C6109E">
    <w:pPr>
      <w:pStyle w:val="Fuzeile"/>
      <w:framePr w:wrap="around" w:vAnchor="text" w:hAnchor="margin" w:xAlign="right" w:y="1"/>
      <w:rPr>
        <w:rStyle w:val="Seitenzahl"/>
      </w:rPr>
    </w:pPr>
    <w:r w:rsidRPr="00C6109E">
      <w:rPr>
        <w:rStyle w:val="Seitenzahl"/>
        <w:rFonts w:ascii="Arial" w:hAnsi="Arial"/>
        <w:sz w:val="20"/>
      </w:rPr>
      <w:fldChar w:fldCharType="begin"/>
    </w:r>
    <w:r w:rsidR="00171B5A" w:rsidRPr="00C6109E">
      <w:rPr>
        <w:rStyle w:val="Seitenzahl"/>
        <w:rFonts w:ascii="Arial" w:hAnsi="Arial"/>
        <w:sz w:val="20"/>
      </w:rPr>
      <w:instrText xml:space="preserve">PAGE  </w:instrText>
    </w:r>
    <w:r w:rsidRPr="00C6109E">
      <w:rPr>
        <w:rStyle w:val="Seitenzahl"/>
        <w:rFonts w:ascii="Arial" w:hAnsi="Arial"/>
        <w:sz w:val="20"/>
      </w:rPr>
      <w:fldChar w:fldCharType="separate"/>
    </w:r>
    <w:r w:rsidR="00A3618D">
      <w:rPr>
        <w:rStyle w:val="Seitenzahl"/>
        <w:rFonts w:ascii="Arial" w:hAnsi="Arial"/>
        <w:noProof/>
        <w:sz w:val="20"/>
      </w:rPr>
      <w:t>1</w:t>
    </w:r>
    <w:r w:rsidRPr="00C6109E">
      <w:rPr>
        <w:rStyle w:val="Seitenzahl"/>
        <w:rFonts w:ascii="Arial" w:hAnsi="Arial"/>
        <w:sz w:val="20"/>
      </w:rPr>
      <w:fldChar w:fldCharType="end"/>
    </w:r>
  </w:p>
  <w:p w:rsidR="00171B5A" w:rsidRPr="00C6109E" w:rsidRDefault="00171B5A" w:rsidP="00C6109E">
    <w:pPr>
      <w:pStyle w:val="Fuzeile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93" w:rsidRDefault="00084FF4">
      <w:r>
        <w:separator/>
      </w:r>
    </w:p>
  </w:footnote>
  <w:footnote w:type="continuationSeparator" w:id="0">
    <w:p w:rsidR="009B7693" w:rsidRDefault="0008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DDC"/>
    <w:multiLevelType w:val="hybridMultilevel"/>
    <w:tmpl w:val="A66CF0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6018"/>
    <w:multiLevelType w:val="hybridMultilevel"/>
    <w:tmpl w:val="0ED8C1A0"/>
    <w:lvl w:ilvl="0" w:tplc="98BE25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5303"/>
    <w:multiLevelType w:val="hybridMultilevel"/>
    <w:tmpl w:val="CAA8147C"/>
    <w:lvl w:ilvl="0" w:tplc="666E1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2087876"/>
    <w:multiLevelType w:val="hybridMultilevel"/>
    <w:tmpl w:val="D6308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BCE"/>
    <w:multiLevelType w:val="hybridMultilevel"/>
    <w:tmpl w:val="34B08C64"/>
    <w:lvl w:ilvl="0" w:tplc="666E1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DFB525D"/>
    <w:multiLevelType w:val="hybridMultilevel"/>
    <w:tmpl w:val="1AE643F0"/>
    <w:lvl w:ilvl="0" w:tplc="666E1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0627"/>
    <w:rsid w:val="0004115F"/>
    <w:rsid w:val="000537CE"/>
    <w:rsid w:val="00063B36"/>
    <w:rsid w:val="000652E0"/>
    <w:rsid w:val="00066616"/>
    <w:rsid w:val="00084FF4"/>
    <w:rsid w:val="000A45EB"/>
    <w:rsid w:val="000D6DCE"/>
    <w:rsid w:val="00115675"/>
    <w:rsid w:val="00123619"/>
    <w:rsid w:val="0014283A"/>
    <w:rsid w:val="00163B3A"/>
    <w:rsid w:val="00171B5A"/>
    <w:rsid w:val="001C23C2"/>
    <w:rsid w:val="001C3E08"/>
    <w:rsid w:val="001F76A2"/>
    <w:rsid w:val="00206763"/>
    <w:rsid w:val="0023429E"/>
    <w:rsid w:val="00236098"/>
    <w:rsid w:val="002632D1"/>
    <w:rsid w:val="002B0627"/>
    <w:rsid w:val="002D71E5"/>
    <w:rsid w:val="002E18AE"/>
    <w:rsid w:val="00306694"/>
    <w:rsid w:val="00375608"/>
    <w:rsid w:val="003B4BA7"/>
    <w:rsid w:val="003D6B9F"/>
    <w:rsid w:val="003E37ED"/>
    <w:rsid w:val="003F57D2"/>
    <w:rsid w:val="00402553"/>
    <w:rsid w:val="004032B9"/>
    <w:rsid w:val="0044381B"/>
    <w:rsid w:val="004549A3"/>
    <w:rsid w:val="00491A1A"/>
    <w:rsid w:val="004A7152"/>
    <w:rsid w:val="004C253F"/>
    <w:rsid w:val="004C5247"/>
    <w:rsid w:val="004E610A"/>
    <w:rsid w:val="0052165C"/>
    <w:rsid w:val="005554F2"/>
    <w:rsid w:val="00595679"/>
    <w:rsid w:val="005D04F4"/>
    <w:rsid w:val="005D6287"/>
    <w:rsid w:val="006216D2"/>
    <w:rsid w:val="006540FA"/>
    <w:rsid w:val="00690379"/>
    <w:rsid w:val="006D41D1"/>
    <w:rsid w:val="006F1B58"/>
    <w:rsid w:val="006F31F4"/>
    <w:rsid w:val="006F7379"/>
    <w:rsid w:val="0072669D"/>
    <w:rsid w:val="00755ACF"/>
    <w:rsid w:val="007B67BA"/>
    <w:rsid w:val="007D781B"/>
    <w:rsid w:val="007F52AC"/>
    <w:rsid w:val="00804CB9"/>
    <w:rsid w:val="0082241B"/>
    <w:rsid w:val="00863641"/>
    <w:rsid w:val="008638EE"/>
    <w:rsid w:val="00876855"/>
    <w:rsid w:val="008A4782"/>
    <w:rsid w:val="0091050A"/>
    <w:rsid w:val="00930D66"/>
    <w:rsid w:val="00946A22"/>
    <w:rsid w:val="00966888"/>
    <w:rsid w:val="00975B75"/>
    <w:rsid w:val="009B4F79"/>
    <w:rsid w:val="009B7693"/>
    <w:rsid w:val="009D0B7D"/>
    <w:rsid w:val="009D27C4"/>
    <w:rsid w:val="009E73CB"/>
    <w:rsid w:val="009F7D78"/>
    <w:rsid w:val="00A02453"/>
    <w:rsid w:val="00A32C07"/>
    <w:rsid w:val="00A34341"/>
    <w:rsid w:val="00A3618D"/>
    <w:rsid w:val="00A64560"/>
    <w:rsid w:val="00A86C19"/>
    <w:rsid w:val="00AA200F"/>
    <w:rsid w:val="00AB1A60"/>
    <w:rsid w:val="00AE76CC"/>
    <w:rsid w:val="00AF462E"/>
    <w:rsid w:val="00AF6698"/>
    <w:rsid w:val="00B05ED4"/>
    <w:rsid w:val="00B73236"/>
    <w:rsid w:val="00BA793C"/>
    <w:rsid w:val="00BC485F"/>
    <w:rsid w:val="00BD41EF"/>
    <w:rsid w:val="00BD48C4"/>
    <w:rsid w:val="00C11D92"/>
    <w:rsid w:val="00C5774F"/>
    <w:rsid w:val="00C6109E"/>
    <w:rsid w:val="00C85DF4"/>
    <w:rsid w:val="00C95C9A"/>
    <w:rsid w:val="00C97F48"/>
    <w:rsid w:val="00CA60AC"/>
    <w:rsid w:val="00CE4BA4"/>
    <w:rsid w:val="00D06267"/>
    <w:rsid w:val="00D47521"/>
    <w:rsid w:val="00DA757D"/>
    <w:rsid w:val="00DF565E"/>
    <w:rsid w:val="00E46CCC"/>
    <w:rsid w:val="00E66295"/>
    <w:rsid w:val="00E7542E"/>
    <w:rsid w:val="00EA1F5F"/>
    <w:rsid w:val="00EC0445"/>
    <w:rsid w:val="00EE5D0C"/>
    <w:rsid w:val="00F13BEB"/>
    <w:rsid w:val="00F44AEF"/>
    <w:rsid w:val="00F635A9"/>
    <w:rsid w:val="00F822E6"/>
    <w:rsid w:val="00FA2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1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1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C61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109E"/>
  </w:style>
  <w:style w:type="character" w:styleId="Seitenzahl">
    <w:name w:val="page number"/>
    <w:basedOn w:val="Absatz-Standardschriftart"/>
    <w:uiPriority w:val="99"/>
    <w:semiHidden/>
    <w:unhideWhenUsed/>
    <w:rsid w:val="00C6109E"/>
  </w:style>
  <w:style w:type="paragraph" w:styleId="Kopfzeile">
    <w:name w:val="header"/>
    <w:basedOn w:val="Standard"/>
    <w:link w:val="KopfzeileZchn"/>
    <w:uiPriority w:val="99"/>
    <w:semiHidden/>
    <w:unhideWhenUsed/>
    <w:rsid w:val="00C61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AD388144.dotm</Template>
  <TotalTime>0</TotalTime>
  <Pages>4</Pages>
  <Words>951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P</dc:creator>
  <cp:lastModifiedBy>Mitarbeiter</cp:lastModifiedBy>
  <cp:revision>4</cp:revision>
  <cp:lastPrinted>2013-05-21T07:47:00Z</cp:lastPrinted>
  <dcterms:created xsi:type="dcterms:W3CDTF">2013-06-13T14:30:00Z</dcterms:created>
  <dcterms:modified xsi:type="dcterms:W3CDTF">2013-06-17T09:08:00Z</dcterms:modified>
</cp:coreProperties>
</file>